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A4" w:rsidRPr="00E721A4" w:rsidRDefault="00E909B4" w:rsidP="00E721A4">
      <w:pPr>
        <w:pStyle w:val="CommentText"/>
        <w:rPr>
          <w:noProof/>
          <w:lang w:val="en-US"/>
        </w:rPr>
      </w:pPr>
      <w:r w:rsidRPr="00E909B4">
        <w:rPr>
          <w:b/>
          <w:bCs/>
          <w:sz w:val="32"/>
          <w:u w:val="single"/>
        </w:rPr>
        <w:t xml:space="preserve"> </w:t>
      </w:r>
    </w:p>
    <w:p w:rsidR="00E721A4" w:rsidRPr="00E721A4" w:rsidRDefault="00E721A4" w:rsidP="00E721A4">
      <w:pPr>
        <w:rPr>
          <w:rFonts w:eastAsia="Times New Roman" w:cs="Times New Roman"/>
          <w:noProof/>
          <w:sz w:val="20"/>
          <w:lang w:val="en-US"/>
        </w:rPr>
      </w:pPr>
    </w:p>
    <w:p w:rsidR="00E721A4" w:rsidRPr="00E721A4" w:rsidRDefault="00E721A4" w:rsidP="00E721A4">
      <w:pPr>
        <w:rPr>
          <w:rFonts w:eastAsia="Times New Roman" w:cs="Times New Roman"/>
          <w:noProof/>
          <w:sz w:val="20"/>
          <w:lang w:val="en-US"/>
        </w:rPr>
      </w:pPr>
    </w:p>
    <w:p w:rsidR="00E721A4" w:rsidRPr="00E721A4" w:rsidRDefault="00E721A4" w:rsidP="00E721A4">
      <w:pPr>
        <w:rPr>
          <w:rFonts w:eastAsia="Times New Roman" w:cs="Times New Roman"/>
          <w:noProof/>
          <w:sz w:val="20"/>
          <w:lang w:val="en-US"/>
        </w:rPr>
      </w:pPr>
      <w:r w:rsidRPr="00E721A4">
        <w:rPr>
          <w:rFonts w:eastAsia="Times New Roman" w:cs="Times New Roman"/>
          <w:noProof/>
          <w:sz w:val="20"/>
          <w:lang w:eastAsia="en-GB"/>
        </w:rPr>
        <mc:AlternateContent>
          <mc:Choice Requires="wps">
            <w:drawing>
              <wp:anchor distT="0" distB="0" distL="114300" distR="114300" simplePos="0" relativeHeight="251659264" behindDoc="0" locked="0" layoutInCell="1" allowOverlap="1" wp14:anchorId="6A32C518" wp14:editId="38C016AA">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1A4" w:rsidRDefault="00E721A4" w:rsidP="00E721A4">
                            <w:r>
                              <w:rPr>
                                <w:noProof/>
                                <w:lang w:eastAsia="en-GB"/>
                              </w:rPr>
                              <w:drawing>
                                <wp:inline distT="0" distB="0" distL="0" distR="0" wp14:anchorId="6095E919" wp14:editId="721C469C">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721A4" w:rsidRDefault="00E721A4" w:rsidP="00E721A4">
                      <w:r>
                        <w:rPr>
                          <w:noProof/>
                          <w:lang w:eastAsia="en-GB"/>
                        </w:rPr>
                        <w:drawing>
                          <wp:inline distT="0" distB="0" distL="0" distR="0" wp14:anchorId="6095E919" wp14:editId="721C469C">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E721A4" w:rsidRPr="00E721A4" w:rsidRDefault="00E721A4" w:rsidP="00E721A4">
      <w:pPr>
        <w:jc w:val="right"/>
        <w:rPr>
          <w:rFonts w:eastAsia="Times New Roman" w:cs="Times New Roman"/>
          <w:b/>
          <w:bCs/>
        </w:rPr>
      </w:pPr>
    </w:p>
    <w:p w:rsidR="00E721A4" w:rsidRPr="00E721A4" w:rsidRDefault="00E721A4" w:rsidP="00E721A4">
      <w:pPr>
        <w:jc w:val="right"/>
        <w:rPr>
          <w:rFonts w:eastAsia="Times New Roman" w:cs="Times New Roman"/>
        </w:rPr>
      </w:pPr>
    </w:p>
    <w:p w:rsidR="00E721A4" w:rsidRPr="00E721A4" w:rsidRDefault="00E721A4" w:rsidP="00E721A4">
      <w:pPr>
        <w:tabs>
          <w:tab w:val="left" w:pos="2160"/>
        </w:tabs>
        <w:rPr>
          <w:rFonts w:eastAsia="Times New Roman" w:cs="Times New Roman"/>
          <w:b/>
          <w:bCs/>
          <w:sz w:val="32"/>
          <w:u w:val="single"/>
        </w:rPr>
      </w:pPr>
      <w:r w:rsidRPr="00E721A4">
        <w:rPr>
          <w:rFonts w:eastAsia="Times New Roman" w:cs="Times New Roman"/>
          <w:b/>
          <w:bCs/>
          <w:sz w:val="32"/>
          <w:u w:val="single"/>
        </w:rPr>
        <w:t xml:space="preserve">                                                                       </w:t>
      </w:r>
    </w:p>
    <w:p w:rsidR="00E721A4" w:rsidRPr="00E721A4" w:rsidRDefault="00E721A4" w:rsidP="00E721A4">
      <w:pPr>
        <w:rPr>
          <w:rFonts w:eastAsia="Times New Roman" w:cs="Times New Roman"/>
          <w:b/>
          <w:bCs/>
        </w:rPr>
      </w:pPr>
    </w:p>
    <w:p w:rsidR="00E721A4" w:rsidRPr="00E721A4" w:rsidRDefault="00E721A4" w:rsidP="00E721A4">
      <w:pPr>
        <w:tabs>
          <w:tab w:val="left" w:pos="2160"/>
        </w:tabs>
        <w:rPr>
          <w:rFonts w:eastAsia="Times New Roman"/>
          <w:b/>
          <w:bCs/>
        </w:rPr>
      </w:pPr>
      <w:r w:rsidRPr="00E721A4">
        <w:rPr>
          <w:rFonts w:eastAsia="Times New Roman"/>
          <w:b/>
          <w:bCs/>
        </w:rPr>
        <w:t>To:</w:t>
      </w:r>
      <w:r w:rsidRPr="00E721A4">
        <w:rPr>
          <w:rFonts w:eastAsia="Times New Roman"/>
          <w:b/>
          <w:bCs/>
        </w:rPr>
        <w:tab/>
        <w:t xml:space="preserve"> City Executive Board</w:t>
      </w:r>
      <w:r w:rsidRPr="00E721A4">
        <w:rPr>
          <w:rFonts w:eastAsia="Times New Roman"/>
          <w:b/>
          <w:bCs/>
        </w:rPr>
        <w:tab/>
      </w:r>
    </w:p>
    <w:p w:rsidR="00E721A4" w:rsidRPr="00E721A4" w:rsidRDefault="00E721A4" w:rsidP="00E721A4">
      <w:pPr>
        <w:rPr>
          <w:rFonts w:eastAsia="Times New Roman"/>
          <w:b/>
          <w:bCs/>
        </w:rPr>
      </w:pPr>
    </w:p>
    <w:p w:rsidR="00E721A4" w:rsidRPr="00E721A4" w:rsidRDefault="00E721A4" w:rsidP="00E721A4">
      <w:pPr>
        <w:tabs>
          <w:tab w:val="left" w:pos="2160"/>
          <w:tab w:val="left" w:pos="6300"/>
          <w:tab w:val="left" w:pos="7380"/>
        </w:tabs>
        <w:rPr>
          <w:rFonts w:eastAsia="Times New Roman"/>
          <w:b/>
          <w:bCs/>
        </w:rPr>
      </w:pPr>
      <w:r w:rsidRPr="00E721A4">
        <w:rPr>
          <w:rFonts w:eastAsia="Times New Roman"/>
          <w:b/>
          <w:bCs/>
        </w:rPr>
        <w:t>Date:</w:t>
      </w:r>
      <w:r w:rsidRPr="00E721A4">
        <w:rPr>
          <w:rFonts w:eastAsia="Times New Roman"/>
          <w:b/>
          <w:bCs/>
        </w:rPr>
        <w:tab/>
      </w:r>
      <w:r>
        <w:rPr>
          <w:rFonts w:eastAsia="Times New Roman"/>
          <w:b/>
          <w:bCs/>
        </w:rPr>
        <w:t>14 May 2015</w:t>
      </w:r>
      <w:r w:rsidRPr="00E721A4">
        <w:rPr>
          <w:rFonts w:eastAsia="Times New Roman"/>
          <w:b/>
          <w:bCs/>
        </w:rPr>
        <w:tab/>
        <w:t xml:space="preserve">       </w:t>
      </w:r>
      <w:r w:rsidRPr="00E721A4">
        <w:rPr>
          <w:rFonts w:eastAsia="Times New Roman"/>
          <w:b/>
          <w:bCs/>
        </w:rPr>
        <w:tab/>
        <w:t xml:space="preserve">   </w:t>
      </w:r>
      <w:r w:rsidRPr="00E721A4">
        <w:rPr>
          <w:rFonts w:eastAsia="Times New Roman"/>
          <w:b/>
          <w:bCs/>
        </w:rPr>
        <w:tab/>
      </w:r>
    </w:p>
    <w:p w:rsidR="00E721A4" w:rsidRPr="00E721A4" w:rsidRDefault="00E721A4" w:rsidP="00E721A4">
      <w:pPr>
        <w:jc w:val="right"/>
        <w:rPr>
          <w:rFonts w:eastAsia="Times New Roman"/>
          <w:b/>
          <w:bCs/>
        </w:rPr>
      </w:pPr>
    </w:p>
    <w:p w:rsidR="00E721A4" w:rsidRPr="00E721A4" w:rsidRDefault="00E721A4" w:rsidP="00E721A4">
      <w:pPr>
        <w:rPr>
          <w:rFonts w:eastAsia="Times New Roman"/>
          <w:b/>
          <w:bCs/>
        </w:rPr>
      </w:pPr>
      <w:r w:rsidRPr="00E721A4">
        <w:rPr>
          <w:rFonts w:eastAsia="Times New Roman"/>
          <w:b/>
          <w:bCs/>
        </w:rPr>
        <w:t>Report of:</w:t>
      </w:r>
      <w:r w:rsidRPr="00E721A4">
        <w:rPr>
          <w:rFonts w:eastAsia="Times New Roman"/>
          <w:b/>
          <w:bCs/>
        </w:rPr>
        <w:tab/>
      </w:r>
      <w:r w:rsidRPr="00E721A4">
        <w:rPr>
          <w:rFonts w:eastAsia="Times New Roman"/>
          <w:b/>
          <w:bCs/>
        </w:rPr>
        <w:tab/>
        <w:t xml:space="preserve">Head of </w:t>
      </w:r>
      <w:r>
        <w:rPr>
          <w:rFonts w:eastAsia="Times New Roman"/>
          <w:b/>
          <w:bCs/>
        </w:rPr>
        <w:t>Housing and Property</w:t>
      </w:r>
    </w:p>
    <w:p w:rsidR="00E721A4" w:rsidRPr="00E721A4" w:rsidRDefault="00E721A4" w:rsidP="00E721A4">
      <w:pPr>
        <w:tabs>
          <w:tab w:val="left" w:pos="2160"/>
        </w:tabs>
        <w:rPr>
          <w:rFonts w:eastAsia="Times New Roman"/>
          <w:b/>
          <w:bCs/>
        </w:rPr>
      </w:pPr>
    </w:p>
    <w:p w:rsidR="00E721A4" w:rsidRPr="00E721A4" w:rsidRDefault="00E721A4" w:rsidP="00E721A4">
      <w:pPr>
        <w:tabs>
          <w:tab w:val="left" w:pos="2160"/>
        </w:tabs>
        <w:rPr>
          <w:rFonts w:eastAsia="Times New Roman"/>
          <w:b/>
          <w:bCs/>
        </w:rPr>
      </w:pPr>
      <w:r w:rsidRPr="00E721A4">
        <w:rPr>
          <w:rFonts w:eastAsia="Times New Roman"/>
          <w:b/>
          <w:bCs/>
        </w:rPr>
        <w:t>Title of Report:</w:t>
      </w:r>
      <w:r w:rsidRPr="00E721A4">
        <w:rPr>
          <w:rFonts w:eastAsia="Times New Roman"/>
          <w:b/>
          <w:bCs/>
        </w:rPr>
        <w:tab/>
        <w:t>Housing Strategy 2015-2018</w:t>
      </w:r>
    </w:p>
    <w:p w:rsidR="00E721A4" w:rsidRPr="00E721A4" w:rsidRDefault="00E721A4" w:rsidP="00E721A4">
      <w:pPr>
        <w:rPr>
          <w:rFonts w:eastAsia="Times New Roman"/>
        </w:rPr>
      </w:pPr>
    </w:p>
    <w:p w:rsidR="00E721A4" w:rsidRPr="00E721A4" w:rsidRDefault="00E721A4" w:rsidP="00E721A4">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p>
    <w:p w:rsidR="00E721A4" w:rsidRPr="00E721A4" w:rsidRDefault="00E721A4" w:rsidP="00E721A4">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r w:rsidRPr="00E721A4">
        <w:rPr>
          <w:rFonts w:eastAsia="Times New Roman" w:cs="Times New Roman"/>
          <w:b/>
          <w:bCs/>
          <w:u w:val="single"/>
        </w:rPr>
        <w:t>Summary and Recommendations</w:t>
      </w:r>
    </w:p>
    <w:p w:rsidR="00E721A4" w:rsidRPr="00E721A4" w:rsidRDefault="00E721A4" w:rsidP="00E721A4">
      <w:pPr>
        <w:pBdr>
          <w:top w:val="single" w:sz="4" w:space="1" w:color="auto"/>
          <w:left w:val="single" w:sz="4" w:space="4" w:color="auto"/>
          <w:bottom w:val="single" w:sz="4" w:space="1" w:color="auto"/>
          <w:right w:val="single" w:sz="4" w:space="4" w:color="auto"/>
        </w:pBdr>
        <w:rPr>
          <w:rFonts w:eastAsia="Times New Roman"/>
        </w:rPr>
      </w:pPr>
    </w:p>
    <w:p w:rsidR="00E721A4" w:rsidRPr="00E909B4" w:rsidRDefault="00E721A4" w:rsidP="00E721A4">
      <w:pPr>
        <w:pBdr>
          <w:top w:val="single" w:sz="4" w:space="1" w:color="auto"/>
          <w:left w:val="single" w:sz="4" w:space="4" w:color="auto"/>
          <w:bottom w:val="single" w:sz="4" w:space="1" w:color="auto"/>
          <w:right w:val="single" w:sz="4" w:space="4" w:color="auto"/>
        </w:pBdr>
        <w:rPr>
          <w:rFonts w:eastAsia="Times New Roman"/>
        </w:rPr>
      </w:pPr>
      <w:r w:rsidRPr="00E909B4">
        <w:rPr>
          <w:rFonts w:eastAsia="Times New Roman"/>
          <w:b/>
          <w:bCs/>
        </w:rPr>
        <w:t>Purpose of report</w:t>
      </w:r>
      <w:r w:rsidRPr="00E909B4">
        <w:rPr>
          <w:rFonts w:eastAsia="Times New Roman"/>
        </w:rPr>
        <w:t xml:space="preserve">:  To provide the City Executive Board with the </w:t>
      </w:r>
      <w:r>
        <w:rPr>
          <w:rFonts w:eastAsia="Times New Roman"/>
        </w:rPr>
        <w:t xml:space="preserve">final version of the Housing Strategy 2015-2018 with a detailed action plan that outlines the key priorities for the next three years, following consultation.  </w:t>
      </w:r>
    </w:p>
    <w:p w:rsidR="00086312" w:rsidRDefault="00086312" w:rsidP="00E721A4">
      <w:pPr>
        <w:keepNext/>
        <w:pBdr>
          <w:top w:val="single" w:sz="4" w:space="1" w:color="auto"/>
          <w:left w:val="single" w:sz="4" w:space="4" w:color="auto"/>
          <w:bottom w:val="single" w:sz="4" w:space="1" w:color="auto"/>
          <w:right w:val="single" w:sz="4" w:space="4" w:color="auto"/>
        </w:pBdr>
        <w:tabs>
          <w:tab w:val="left" w:pos="3062"/>
        </w:tabs>
        <w:outlineLvl w:val="0"/>
        <w:rPr>
          <w:rFonts w:eastAsia="Times New Roman"/>
        </w:rPr>
      </w:pPr>
    </w:p>
    <w:p w:rsidR="00E721A4" w:rsidRPr="00E909B4" w:rsidRDefault="00E721A4" w:rsidP="00E721A4">
      <w:pPr>
        <w:keepNext/>
        <w:pBdr>
          <w:top w:val="single" w:sz="4" w:space="1" w:color="auto"/>
          <w:left w:val="single" w:sz="4" w:space="4" w:color="auto"/>
          <w:bottom w:val="single" w:sz="4" w:space="1" w:color="auto"/>
          <w:right w:val="single" w:sz="4" w:space="4" w:color="auto"/>
        </w:pBdr>
        <w:tabs>
          <w:tab w:val="left" w:pos="3062"/>
        </w:tabs>
        <w:outlineLvl w:val="0"/>
        <w:rPr>
          <w:rFonts w:eastAsia="Times New Roman" w:cs="Times New Roman"/>
          <w:b/>
        </w:rPr>
      </w:pPr>
      <w:r w:rsidRPr="00E909B4">
        <w:rPr>
          <w:rFonts w:eastAsia="Times New Roman" w:cs="Times New Roman"/>
          <w:b/>
        </w:rPr>
        <w:t xml:space="preserve">Key decision: </w:t>
      </w:r>
      <w:r w:rsidRPr="00E909B4">
        <w:rPr>
          <w:rFonts w:eastAsia="Times New Roman" w:cs="Times New Roman"/>
        </w:rPr>
        <w:t xml:space="preserve">Yes </w:t>
      </w:r>
    </w:p>
    <w:p w:rsidR="00E721A4" w:rsidRPr="00E909B4" w:rsidRDefault="00E721A4" w:rsidP="00E721A4">
      <w:pPr>
        <w:pBdr>
          <w:top w:val="single" w:sz="4" w:space="1" w:color="auto"/>
          <w:left w:val="single" w:sz="4" w:space="4" w:color="auto"/>
          <w:bottom w:val="single" w:sz="4" w:space="1" w:color="auto"/>
          <w:right w:val="single" w:sz="4" w:space="4" w:color="auto"/>
        </w:pBdr>
        <w:rPr>
          <w:rFonts w:eastAsia="Times New Roman"/>
        </w:rPr>
      </w:pPr>
    </w:p>
    <w:p w:rsidR="00E721A4" w:rsidRPr="00E909B4" w:rsidRDefault="00E721A4" w:rsidP="00E721A4">
      <w:pPr>
        <w:pBdr>
          <w:top w:val="single" w:sz="4" w:space="1" w:color="auto"/>
          <w:left w:val="single" w:sz="4" w:space="4" w:color="auto"/>
          <w:bottom w:val="single" w:sz="4" w:space="1" w:color="auto"/>
          <w:right w:val="single" w:sz="4" w:space="4" w:color="auto"/>
        </w:pBdr>
        <w:rPr>
          <w:rFonts w:eastAsia="Times New Roman"/>
          <w:bCs/>
        </w:rPr>
      </w:pPr>
      <w:r w:rsidRPr="00E909B4">
        <w:rPr>
          <w:rFonts w:eastAsia="Times New Roman"/>
          <w:b/>
          <w:bCs/>
        </w:rPr>
        <w:t xml:space="preserve">Executive lead member: </w:t>
      </w:r>
      <w:r w:rsidRPr="00E909B4">
        <w:rPr>
          <w:rFonts w:eastAsia="Times New Roman"/>
          <w:bCs/>
        </w:rPr>
        <w:t xml:space="preserve">Councillor Scott </w:t>
      </w:r>
      <w:proofErr w:type="spellStart"/>
      <w:r w:rsidRPr="00E909B4">
        <w:rPr>
          <w:rFonts w:eastAsia="Times New Roman"/>
          <w:bCs/>
        </w:rPr>
        <w:t>Seamons</w:t>
      </w:r>
      <w:proofErr w:type="spellEnd"/>
      <w:r>
        <w:rPr>
          <w:rFonts w:eastAsia="Times New Roman"/>
          <w:bCs/>
        </w:rPr>
        <w:t xml:space="preserve">, Board Member for </w:t>
      </w:r>
      <w:r w:rsidRPr="00E721A4">
        <w:rPr>
          <w:rFonts w:eastAsia="Times New Roman"/>
          <w:bCs/>
        </w:rPr>
        <w:t>Housing and Estate Regeneration</w:t>
      </w:r>
    </w:p>
    <w:p w:rsidR="00E721A4" w:rsidRPr="00E909B4" w:rsidRDefault="00E721A4" w:rsidP="00E721A4">
      <w:pPr>
        <w:keepNext/>
        <w:pBdr>
          <w:top w:val="single" w:sz="4" w:space="1" w:color="auto"/>
          <w:left w:val="single" w:sz="4" w:space="4" w:color="auto"/>
          <w:bottom w:val="single" w:sz="4" w:space="1" w:color="auto"/>
          <w:right w:val="single" w:sz="4" w:space="4" w:color="auto"/>
        </w:pBdr>
        <w:outlineLvl w:val="0"/>
        <w:rPr>
          <w:rFonts w:eastAsia="Times New Roman" w:cs="Times New Roman"/>
          <w:b/>
          <w:bCs/>
        </w:rPr>
      </w:pPr>
    </w:p>
    <w:p w:rsidR="00E721A4" w:rsidRPr="00E909B4" w:rsidRDefault="00E721A4" w:rsidP="00E721A4">
      <w:pPr>
        <w:pBdr>
          <w:top w:val="single" w:sz="4" w:space="1" w:color="auto"/>
          <w:left w:val="single" w:sz="4" w:space="4" w:color="auto"/>
          <w:bottom w:val="single" w:sz="4" w:space="1" w:color="auto"/>
          <w:right w:val="single" w:sz="4" w:space="4" w:color="auto"/>
        </w:pBdr>
        <w:rPr>
          <w:rFonts w:eastAsia="Times New Roman"/>
          <w:b/>
          <w:bCs/>
        </w:rPr>
      </w:pPr>
      <w:r w:rsidRPr="00E909B4">
        <w:rPr>
          <w:rFonts w:eastAsia="Times New Roman"/>
          <w:b/>
          <w:bCs/>
        </w:rPr>
        <w:t xml:space="preserve">Policy Framework: </w:t>
      </w:r>
      <w:r w:rsidRPr="00E909B4">
        <w:rPr>
          <w:rFonts w:eastAsia="Times New Roman"/>
          <w:bCs/>
        </w:rPr>
        <w:t>Housing Strategy</w:t>
      </w:r>
      <w:r>
        <w:rPr>
          <w:rFonts w:eastAsia="Times New Roman"/>
          <w:bCs/>
        </w:rPr>
        <w:t xml:space="preserve"> Corporate objective- Meeting Housing Needs</w:t>
      </w:r>
    </w:p>
    <w:p w:rsidR="00E721A4" w:rsidRDefault="00E721A4" w:rsidP="00E721A4">
      <w:pPr>
        <w:keepNext/>
        <w:pBdr>
          <w:top w:val="single" w:sz="4" w:space="1" w:color="auto"/>
          <w:left w:val="single" w:sz="4" w:space="4" w:color="auto"/>
          <w:bottom w:val="single" w:sz="4" w:space="1" w:color="auto"/>
          <w:right w:val="single" w:sz="4" w:space="4" w:color="auto"/>
        </w:pBdr>
        <w:outlineLvl w:val="0"/>
        <w:rPr>
          <w:rFonts w:eastAsia="Times New Roman" w:cs="Times New Roman"/>
          <w:b/>
          <w:bCs/>
        </w:rPr>
      </w:pPr>
      <w:bookmarkStart w:id="0" w:name="_GoBack"/>
      <w:bookmarkEnd w:id="0"/>
    </w:p>
    <w:p w:rsidR="00086312" w:rsidRPr="00086312" w:rsidRDefault="00086312" w:rsidP="00E721A4">
      <w:pPr>
        <w:keepNext/>
        <w:pBdr>
          <w:top w:val="single" w:sz="4" w:space="1" w:color="auto"/>
          <w:left w:val="single" w:sz="4" w:space="4" w:color="auto"/>
          <w:bottom w:val="single" w:sz="4" w:space="1" w:color="auto"/>
          <w:right w:val="single" w:sz="4" w:space="4" w:color="auto"/>
        </w:pBdr>
        <w:outlineLvl w:val="0"/>
        <w:rPr>
          <w:rFonts w:eastAsia="Times New Roman" w:cs="Times New Roman"/>
          <w:bCs/>
        </w:rPr>
      </w:pPr>
      <w:r w:rsidRPr="00086312">
        <w:rPr>
          <w:rFonts w:eastAsia="Times New Roman" w:cs="Times New Roman"/>
          <w:b/>
          <w:bCs/>
        </w:rPr>
        <w:t xml:space="preserve">Recommendation: </w:t>
      </w:r>
      <w:r w:rsidRPr="00086312">
        <w:rPr>
          <w:rFonts w:eastAsia="Times New Roman" w:cs="Times New Roman"/>
          <w:bCs/>
        </w:rPr>
        <w:t>Th</w:t>
      </w:r>
      <w:r>
        <w:rPr>
          <w:rFonts w:eastAsia="Times New Roman" w:cs="Times New Roman"/>
          <w:bCs/>
        </w:rPr>
        <w:t>at the City Executive Board adopt</w:t>
      </w:r>
      <w:r w:rsidRPr="00086312">
        <w:rPr>
          <w:rFonts w:eastAsia="Times New Roman" w:cs="Times New Roman"/>
          <w:bCs/>
        </w:rPr>
        <w:t xml:space="preserve"> the H</w:t>
      </w:r>
      <w:r>
        <w:rPr>
          <w:rFonts w:eastAsia="Times New Roman" w:cs="Times New Roman"/>
          <w:bCs/>
        </w:rPr>
        <w:t xml:space="preserve">ousing Strategy and Action Plan </w:t>
      </w:r>
      <w:r w:rsidRPr="00086312">
        <w:rPr>
          <w:rFonts w:eastAsia="Times New Roman" w:cs="Times New Roman"/>
          <w:bCs/>
        </w:rPr>
        <w:t>2015-2018</w:t>
      </w:r>
    </w:p>
    <w:p w:rsidR="00E909B4" w:rsidRPr="00E721A4" w:rsidRDefault="00E909B4" w:rsidP="00E721A4">
      <w:pPr>
        <w:tabs>
          <w:tab w:val="left" w:pos="2160"/>
        </w:tabs>
        <w:rPr>
          <w:rFonts w:eastAsia="Times New Roman" w:cs="Times New Roman"/>
          <w:b/>
          <w:bCs/>
          <w:sz w:val="32"/>
          <w:u w:val="single"/>
        </w:rPr>
      </w:pPr>
    </w:p>
    <w:p w:rsidR="00E909B4" w:rsidRPr="00E721A4" w:rsidRDefault="00E909B4" w:rsidP="00E909B4">
      <w:pPr>
        <w:rPr>
          <w:rFonts w:eastAsia="Times New Roman"/>
          <w:b/>
        </w:rPr>
      </w:pPr>
      <w:r w:rsidRPr="00E721A4">
        <w:rPr>
          <w:rFonts w:eastAsia="Times New Roman"/>
          <w:b/>
        </w:rPr>
        <w:t xml:space="preserve">Appendices </w:t>
      </w:r>
    </w:p>
    <w:p w:rsidR="00E909B4" w:rsidRPr="00E909B4" w:rsidRDefault="00E909B4" w:rsidP="00E909B4">
      <w:pPr>
        <w:rPr>
          <w:rFonts w:eastAsia="Times New Roman"/>
        </w:rPr>
      </w:pPr>
    </w:p>
    <w:p w:rsidR="00E909B4" w:rsidRDefault="00E721A4" w:rsidP="00E909B4">
      <w:pPr>
        <w:rPr>
          <w:rFonts w:eastAsia="Times New Roman"/>
        </w:rPr>
      </w:pPr>
      <w:r>
        <w:rPr>
          <w:rFonts w:eastAsia="Times New Roman"/>
        </w:rPr>
        <w:t xml:space="preserve">Appendix </w:t>
      </w:r>
      <w:r w:rsidR="00155919">
        <w:rPr>
          <w:rFonts w:eastAsia="Times New Roman"/>
        </w:rPr>
        <w:t>1</w:t>
      </w:r>
      <w:r w:rsidR="00A41968">
        <w:rPr>
          <w:rFonts w:eastAsia="Times New Roman"/>
        </w:rPr>
        <w:t xml:space="preserve"> – Housing Strategy 2015-2018 </w:t>
      </w:r>
      <w:r w:rsidR="00A14B51">
        <w:rPr>
          <w:rFonts w:eastAsia="Times New Roman"/>
        </w:rPr>
        <w:t>and Action Plan</w:t>
      </w:r>
    </w:p>
    <w:p w:rsidR="00ED46BA" w:rsidRDefault="00E721A4" w:rsidP="00E909B4">
      <w:pPr>
        <w:rPr>
          <w:rFonts w:eastAsia="Times New Roman"/>
        </w:rPr>
      </w:pPr>
      <w:r w:rsidRPr="00E721A4">
        <w:rPr>
          <w:rFonts w:eastAsia="Times New Roman"/>
        </w:rPr>
        <w:t xml:space="preserve">Appendix </w:t>
      </w:r>
      <w:r w:rsidR="00C37DA7">
        <w:rPr>
          <w:rFonts w:eastAsia="Times New Roman"/>
        </w:rPr>
        <w:t>2</w:t>
      </w:r>
      <w:r w:rsidR="00ED46BA">
        <w:rPr>
          <w:rFonts w:eastAsia="Times New Roman"/>
        </w:rPr>
        <w:t xml:space="preserve"> – Housing Strategy Consultation Summary </w:t>
      </w:r>
    </w:p>
    <w:p w:rsidR="00ED46BA" w:rsidRDefault="00E721A4" w:rsidP="00E909B4">
      <w:pPr>
        <w:rPr>
          <w:rFonts w:eastAsia="Times New Roman"/>
        </w:rPr>
      </w:pPr>
      <w:r w:rsidRPr="00E721A4">
        <w:rPr>
          <w:rFonts w:eastAsia="Times New Roman"/>
        </w:rPr>
        <w:t xml:space="preserve">Appendix </w:t>
      </w:r>
      <w:r w:rsidR="00C37DA7">
        <w:rPr>
          <w:rFonts w:eastAsia="Times New Roman"/>
        </w:rPr>
        <w:t>3</w:t>
      </w:r>
      <w:r w:rsidR="00C87445">
        <w:rPr>
          <w:rFonts w:eastAsia="Times New Roman"/>
        </w:rPr>
        <w:t xml:space="preserve"> – </w:t>
      </w:r>
      <w:r w:rsidR="00ED46BA">
        <w:rPr>
          <w:rFonts w:eastAsia="Times New Roman"/>
        </w:rPr>
        <w:t>Risk Register</w:t>
      </w:r>
    </w:p>
    <w:p w:rsidR="00A14B51" w:rsidRPr="00E721A4" w:rsidRDefault="00E721A4" w:rsidP="008A22C6">
      <w:pPr>
        <w:rPr>
          <w:rFonts w:eastAsia="Times New Roman"/>
        </w:rPr>
      </w:pPr>
      <w:r w:rsidRPr="00E721A4">
        <w:rPr>
          <w:rFonts w:eastAsia="Times New Roman"/>
        </w:rPr>
        <w:t xml:space="preserve">Appendix </w:t>
      </w:r>
      <w:r w:rsidR="00C37DA7">
        <w:rPr>
          <w:rFonts w:eastAsia="Times New Roman"/>
        </w:rPr>
        <w:t>4</w:t>
      </w:r>
      <w:r w:rsidR="00C87445">
        <w:rPr>
          <w:rFonts w:eastAsia="Times New Roman"/>
        </w:rPr>
        <w:t xml:space="preserve"> –</w:t>
      </w:r>
      <w:r w:rsidR="007314DA">
        <w:rPr>
          <w:rFonts w:eastAsia="Times New Roman"/>
        </w:rPr>
        <w:t xml:space="preserve"> E</w:t>
      </w:r>
      <w:r w:rsidR="00C2534E">
        <w:rPr>
          <w:rFonts w:eastAsia="Times New Roman"/>
        </w:rPr>
        <w:t>quality Impact Assessment (E</w:t>
      </w:r>
      <w:r w:rsidR="007314DA">
        <w:rPr>
          <w:rFonts w:eastAsia="Times New Roman"/>
        </w:rPr>
        <w:t>IA</w:t>
      </w:r>
      <w:r w:rsidR="00C2534E">
        <w:rPr>
          <w:rFonts w:eastAsia="Times New Roman"/>
        </w:rPr>
        <w:t>)</w:t>
      </w:r>
    </w:p>
    <w:p w:rsidR="008368A3" w:rsidRDefault="008368A3" w:rsidP="008A22C6">
      <w:pPr>
        <w:rPr>
          <w:b/>
        </w:rPr>
      </w:pPr>
    </w:p>
    <w:p w:rsidR="00E909B4" w:rsidRDefault="00E909B4" w:rsidP="008A22C6">
      <w:pPr>
        <w:rPr>
          <w:b/>
        </w:rPr>
      </w:pPr>
      <w:r>
        <w:rPr>
          <w:b/>
        </w:rPr>
        <w:t>Introduction</w:t>
      </w:r>
    </w:p>
    <w:p w:rsidR="00E909B4" w:rsidRDefault="00E909B4" w:rsidP="008A22C6">
      <w:pPr>
        <w:rPr>
          <w:b/>
        </w:rPr>
      </w:pPr>
    </w:p>
    <w:p w:rsidR="00BE362B" w:rsidRDefault="00E909B4" w:rsidP="005525D6">
      <w:pPr>
        <w:ind w:left="720" w:hanging="720"/>
        <w:rPr>
          <w:rFonts w:eastAsia="Times New Roman"/>
        </w:rPr>
      </w:pPr>
      <w:r w:rsidRPr="00EB26A9">
        <w:t>1</w:t>
      </w:r>
      <w:r>
        <w:rPr>
          <w:b/>
        </w:rPr>
        <w:t xml:space="preserve"> </w:t>
      </w:r>
      <w:r>
        <w:rPr>
          <w:b/>
        </w:rPr>
        <w:tab/>
      </w:r>
      <w:r w:rsidRPr="0080301E">
        <w:rPr>
          <w:rFonts w:eastAsia="Times New Roman"/>
        </w:rPr>
        <w:t xml:space="preserve">The </w:t>
      </w:r>
      <w:r w:rsidR="00BE362B">
        <w:rPr>
          <w:rFonts w:eastAsia="Times New Roman"/>
        </w:rPr>
        <w:t xml:space="preserve">previous </w:t>
      </w:r>
      <w:r w:rsidRPr="0080301E">
        <w:rPr>
          <w:rFonts w:eastAsia="Times New Roman"/>
        </w:rPr>
        <w:t>Housing Strategy</w:t>
      </w:r>
      <w:r w:rsidR="00BE362B">
        <w:rPr>
          <w:rFonts w:eastAsia="Times New Roman"/>
        </w:rPr>
        <w:t>,</w:t>
      </w:r>
      <w:r w:rsidRPr="0080301E">
        <w:rPr>
          <w:rFonts w:eastAsia="Times New Roman"/>
        </w:rPr>
        <w:t xml:space="preserve"> approved in April 2012</w:t>
      </w:r>
      <w:r w:rsidR="00BE362B">
        <w:rPr>
          <w:rFonts w:eastAsia="Times New Roman"/>
        </w:rPr>
        <w:t>, covered the period 2012 to 2015.  The priorities under th</w:t>
      </w:r>
      <w:r w:rsidR="005525D6">
        <w:rPr>
          <w:rFonts w:eastAsia="Times New Roman"/>
        </w:rPr>
        <w:t>is s</w:t>
      </w:r>
      <w:r w:rsidR="00BE362B">
        <w:rPr>
          <w:rFonts w:eastAsia="Times New Roman"/>
        </w:rPr>
        <w:t>trategy were</w:t>
      </w:r>
      <w:r w:rsidR="00C2534E">
        <w:rPr>
          <w:rFonts w:eastAsia="Times New Roman"/>
        </w:rPr>
        <w:t xml:space="preserve"> to</w:t>
      </w:r>
      <w:r w:rsidR="00BE362B">
        <w:rPr>
          <w:rFonts w:eastAsia="Times New Roman"/>
        </w:rPr>
        <w:t>:</w:t>
      </w:r>
    </w:p>
    <w:p w:rsidR="00BE362B" w:rsidRDefault="00BE362B" w:rsidP="00BE362B">
      <w:pPr>
        <w:ind w:left="720"/>
        <w:rPr>
          <w:rFonts w:eastAsia="Times New Roman"/>
        </w:rPr>
      </w:pPr>
    </w:p>
    <w:p w:rsidR="00BE362B" w:rsidRPr="005525D6" w:rsidRDefault="00BE362B" w:rsidP="005525D6">
      <w:pPr>
        <w:pStyle w:val="ListParagraph"/>
        <w:numPr>
          <w:ilvl w:val="0"/>
          <w:numId w:val="13"/>
        </w:numPr>
        <w:rPr>
          <w:rFonts w:eastAsia="Times New Roman"/>
        </w:rPr>
      </w:pPr>
      <w:r w:rsidRPr="005525D6">
        <w:rPr>
          <w:rFonts w:eastAsia="Times New Roman"/>
        </w:rPr>
        <w:t>Provide more affordable housing in the City to meet housing needs;</w:t>
      </w:r>
    </w:p>
    <w:p w:rsidR="00BE362B" w:rsidRPr="005525D6" w:rsidRDefault="00BE362B" w:rsidP="005525D6">
      <w:pPr>
        <w:pStyle w:val="ListParagraph"/>
        <w:numPr>
          <w:ilvl w:val="0"/>
          <w:numId w:val="13"/>
        </w:numPr>
        <w:rPr>
          <w:rFonts w:eastAsia="Times New Roman"/>
        </w:rPr>
      </w:pPr>
      <w:r w:rsidRPr="005525D6">
        <w:rPr>
          <w:rFonts w:eastAsia="Times New Roman"/>
        </w:rPr>
        <w:t>Prevent and reduce homelessness;</w:t>
      </w:r>
    </w:p>
    <w:p w:rsidR="00BE362B" w:rsidRPr="005525D6" w:rsidRDefault="00BE362B" w:rsidP="005525D6">
      <w:pPr>
        <w:pStyle w:val="ListParagraph"/>
        <w:numPr>
          <w:ilvl w:val="0"/>
          <w:numId w:val="13"/>
        </w:numPr>
        <w:rPr>
          <w:rFonts w:eastAsia="Times New Roman"/>
        </w:rPr>
      </w:pPr>
      <w:r w:rsidRPr="005525D6">
        <w:rPr>
          <w:rFonts w:eastAsia="Times New Roman"/>
        </w:rPr>
        <w:t>Address the housing needs of vulnerable people and communities;</w:t>
      </w:r>
    </w:p>
    <w:p w:rsidR="00BE362B" w:rsidRPr="005525D6" w:rsidRDefault="00BE362B" w:rsidP="005525D6">
      <w:pPr>
        <w:pStyle w:val="ListParagraph"/>
        <w:numPr>
          <w:ilvl w:val="0"/>
          <w:numId w:val="13"/>
        </w:numPr>
        <w:rPr>
          <w:rFonts w:eastAsia="Times New Roman"/>
        </w:rPr>
      </w:pPr>
      <w:r w:rsidRPr="005525D6">
        <w:rPr>
          <w:rFonts w:eastAsia="Times New Roman"/>
        </w:rPr>
        <w:t>Improve housing conditions;</w:t>
      </w:r>
    </w:p>
    <w:p w:rsidR="005525D6" w:rsidRPr="005525D6" w:rsidRDefault="00BE362B" w:rsidP="005525D6">
      <w:pPr>
        <w:pStyle w:val="ListParagraph"/>
        <w:numPr>
          <w:ilvl w:val="0"/>
          <w:numId w:val="13"/>
        </w:numPr>
        <w:rPr>
          <w:rFonts w:eastAsia="Times New Roman"/>
        </w:rPr>
      </w:pPr>
      <w:r w:rsidRPr="005525D6">
        <w:rPr>
          <w:rFonts w:eastAsia="Times New Roman"/>
        </w:rPr>
        <w:lastRenderedPageBreak/>
        <w:t>Improve housing services</w:t>
      </w:r>
    </w:p>
    <w:p w:rsidR="00BE362B" w:rsidRPr="005525D6" w:rsidRDefault="00BE362B" w:rsidP="005525D6">
      <w:pPr>
        <w:pStyle w:val="ListParagraph"/>
        <w:numPr>
          <w:ilvl w:val="0"/>
          <w:numId w:val="13"/>
        </w:numPr>
        <w:rPr>
          <w:rFonts w:eastAsia="Times New Roman"/>
        </w:rPr>
      </w:pPr>
      <w:r w:rsidRPr="005525D6">
        <w:rPr>
          <w:rFonts w:eastAsia="Times New Roman"/>
        </w:rPr>
        <w:t>Implement self-financing of the HRA</w:t>
      </w:r>
    </w:p>
    <w:p w:rsidR="00E909B4" w:rsidRPr="005525D6" w:rsidRDefault="00E909B4" w:rsidP="00E909B4">
      <w:pPr>
        <w:ind w:left="720" w:hanging="720"/>
        <w:rPr>
          <w:rFonts w:eastAsia="Times New Roman"/>
        </w:rPr>
      </w:pPr>
    </w:p>
    <w:p w:rsidR="00E909B4" w:rsidRDefault="00E909B4" w:rsidP="00E909B4">
      <w:pPr>
        <w:ind w:left="720" w:hanging="720"/>
        <w:rPr>
          <w:rFonts w:eastAsia="Times New Roman"/>
        </w:rPr>
      </w:pPr>
      <w:r w:rsidRPr="00EB26A9">
        <w:rPr>
          <w:rFonts w:eastAsia="Times New Roman"/>
        </w:rPr>
        <w:t>2</w:t>
      </w:r>
      <w:r>
        <w:rPr>
          <w:rFonts w:eastAsia="Times New Roman"/>
          <w:b/>
        </w:rPr>
        <w:tab/>
      </w:r>
      <w:r w:rsidRPr="0080301E">
        <w:rPr>
          <w:rFonts w:eastAsia="Times New Roman"/>
        </w:rPr>
        <w:t xml:space="preserve">The </w:t>
      </w:r>
      <w:r w:rsidR="00FB78EF">
        <w:rPr>
          <w:rFonts w:eastAsia="Times New Roman"/>
        </w:rPr>
        <w:t xml:space="preserve">Housing Strategy </w:t>
      </w:r>
      <w:r w:rsidR="00C2534E">
        <w:rPr>
          <w:rFonts w:eastAsia="Times New Roman"/>
        </w:rPr>
        <w:t xml:space="preserve">2015-2018, and </w:t>
      </w:r>
      <w:r w:rsidR="00955B14">
        <w:rPr>
          <w:rFonts w:eastAsia="Times New Roman"/>
        </w:rPr>
        <w:t>a</w:t>
      </w:r>
      <w:r w:rsidR="00C2534E">
        <w:rPr>
          <w:rFonts w:eastAsia="Times New Roman"/>
        </w:rPr>
        <w:t xml:space="preserve">ction </w:t>
      </w:r>
      <w:r w:rsidR="00955B14">
        <w:rPr>
          <w:rFonts w:eastAsia="Times New Roman"/>
        </w:rPr>
        <w:t>p</w:t>
      </w:r>
      <w:r w:rsidR="00C2534E">
        <w:rPr>
          <w:rFonts w:eastAsia="Times New Roman"/>
        </w:rPr>
        <w:t xml:space="preserve">lan, is attached as </w:t>
      </w:r>
      <w:r w:rsidR="005525D6">
        <w:rPr>
          <w:rFonts w:eastAsia="Times New Roman"/>
        </w:rPr>
        <w:t>Appendix 1 to this report</w:t>
      </w:r>
      <w:r w:rsidR="00C2534E">
        <w:rPr>
          <w:rFonts w:eastAsia="Times New Roman"/>
        </w:rPr>
        <w:t xml:space="preserve">.  It </w:t>
      </w:r>
      <w:r w:rsidR="00FB78EF">
        <w:rPr>
          <w:rFonts w:eastAsia="Times New Roman"/>
        </w:rPr>
        <w:t>has been developed to have a wider cross tenure approach to housing issues in Oxford and has termed this ‘</w:t>
      </w:r>
      <w:r w:rsidR="005525D6">
        <w:rPr>
          <w:rFonts w:eastAsia="Times New Roman"/>
          <w:i/>
        </w:rPr>
        <w:t xml:space="preserve">The Housing Offer’.  </w:t>
      </w:r>
      <w:r w:rsidR="005525D6">
        <w:rPr>
          <w:rFonts w:eastAsia="Times New Roman"/>
        </w:rPr>
        <w:t xml:space="preserve">This follows extensive consultation subsequent to the City Executive Board report in October 2014  </w:t>
      </w:r>
    </w:p>
    <w:p w:rsidR="00FB78EF" w:rsidRDefault="00FB78EF" w:rsidP="00E909B4">
      <w:pPr>
        <w:ind w:left="720" w:hanging="720"/>
        <w:rPr>
          <w:rFonts w:eastAsia="Times New Roman"/>
        </w:rPr>
      </w:pPr>
    </w:p>
    <w:p w:rsidR="00FB78EF" w:rsidRDefault="00FB78EF" w:rsidP="00E909B4">
      <w:pPr>
        <w:ind w:left="720" w:hanging="720"/>
        <w:rPr>
          <w:rFonts w:eastAsia="Times New Roman"/>
        </w:rPr>
      </w:pPr>
      <w:r w:rsidRPr="00EB26A9">
        <w:rPr>
          <w:rFonts w:eastAsia="Times New Roman"/>
        </w:rPr>
        <w:t>3</w:t>
      </w:r>
      <w:r>
        <w:rPr>
          <w:rFonts w:eastAsia="Times New Roman"/>
        </w:rPr>
        <w:tab/>
        <w:t xml:space="preserve">The </w:t>
      </w:r>
      <w:r w:rsidR="005525D6">
        <w:rPr>
          <w:rFonts w:eastAsia="Times New Roman"/>
        </w:rPr>
        <w:t>new s</w:t>
      </w:r>
      <w:r>
        <w:rPr>
          <w:rFonts w:eastAsia="Times New Roman"/>
        </w:rPr>
        <w:t xml:space="preserve">trategy has four main priorities proposed compared </w:t>
      </w:r>
      <w:r w:rsidR="006953D9">
        <w:rPr>
          <w:rFonts w:eastAsia="Times New Roman"/>
        </w:rPr>
        <w:t>with</w:t>
      </w:r>
      <w:r w:rsidR="008D2E15">
        <w:rPr>
          <w:rFonts w:eastAsia="Times New Roman"/>
        </w:rPr>
        <w:t xml:space="preserve"> six</w:t>
      </w:r>
      <w:r>
        <w:rPr>
          <w:rFonts w:eastAsia="Times New Roman"/>
        </w:rPr>
        <w:t xml:space="preserve"> </w:t>
      </w:r>
      <w:r w:rsidR="00C2534E">
        <w:rPr>
          <w:rFonts w:eastAsia="Times New Roman"/>
        </w:rPr>
        <w:t xml:space="preserve">in the </w:t>
      </w:r>
      <w:r w:rsidR="005525D6">
        <w:rPr>
          <w:rFonts w:eastAsia="Times New Roman"/>
        </w:rPr>
        <w:t>pre</w:t>
      </w:r>
      <w:r>
        <w:rPr>
          <w:rFonts w:eastAsia="Times New Roman"/>
        </w:rPr>
        <w:t>vious strategy</w:t>
      </w:r>
      <w:r w:rsidR="00C2534E">
        <w:rPr>
          <w:rFonts w:eastAsia="Times New Roman"/>
        </w:rPr>
        <w:t>.  T</w:t>
      </w:r>
      <w:r>
        <w:rPr>
          <w:rFonts w:eastAsia="Times New Roman"/>
        </w:rPr>
        <w:t xml:space="preserve">he new priorities have been identified as: </w:t>
      </w:r>
    </w:p>
    <w:p w:rsidR="00955B14" w:rsidRDefault="00955B14" w:rsidP="00955B14">
      <w:pPr>
        <w:ind w:left="1080"/>
        <w:rPr>
          <w:rFonts w:eastAsia="Times New Roman"/>
        </w:rPr>
      </w:pPr>
    </w:p>
    <w:p w:rsidR="00E909B4" w:rsidRPr="00955B14" w:rsidRDefault="00FB78EF" w:rsidP="00955B14">
      <w:pPr>
        <w:pStyle w:val="ListParagraph"/>
        <w:numPr>
          <w:ilvl w:val="0"/>
          <w:numId w:val="29"/>
        </w:numPr>
        <w:rPr>
          <w:rFonts w:eastAsia="Times New Roman"/>
        </w:rPr>
      </w:pPr>
      <w:r w:rsidRPr="00955B14">
        <w:rPr>
          <w:rFonts w:eastAsia="Times New Roman"/>
        </w:rPr>
        <w:t xml:space="preserve">Priority 1 </w:t>
      </w:r>
      <w:r w:rsidR="00E62FD6" w:rsidRPr="00955B14">
        <w:rPr>
          <w:rFonts w:eastAsia="Times New Roman"/>
        </w:rPr>
        <w:t>–</w:t>
      </w:r>
      <w:r w:rsidRPr="00955B14">
        <w:rPr>
          <w:rFonts w:eastAsia="Times New Roman"/>
        </w:rPr>
        <w:t xml:space="preserve"> </w:t>
      </w:r>
      <w:r w:rsidR="00E62FD6" w:rsidRPr="00955B14">
        <w:rPr>
          <w:rFonts w:eastAsia="Times New Roman"/>
        </w:rPr>
        <w:t>Increase supply and improve access to affordable housing</w:t>
      </w:r>
      <w:r w:rsidR="008D2E15" w:rsidRPr="00955B14">
        <w:rPr>
          <w:rFonts w:eastAsia="Times New Roman"/>
        </w:rPr>
        <w:t>;</w:t>
      </w:r>
    </w:p>
    <w:p w:rsidR="00E62FD6" w:rsidRPr="00955B14" w:rsidRDefault="00E62FD6" w:rsidP="00955B14">
      <w:pPr>
        <w:pStyle w:val="ListParagraph"/>
        <w:numPr>
          <w:ilvl w:val="0"/>
          <w:numId w:val="29"/>
        </w:numPr>
        <w:rPr>
          <w:rFonts w:eastAsia="Times New Roman"/>
        </w:rPr>
      </w:pPr>
      <w:r w:rsidRPr="00955B14">
        <w:rPr>
          <w:rFonts w:eastAsia="Times New Roman"/>
        </w:rPr>
        <w:t xml:space="preserve">Priority 2 – Meet </w:t>
      </w:r>
      <w:r w:rsidR="00EB26A9" w:rsidRPr="00955B14">
        <w:rPr>
          <w:rFonts w:eastAsia="Times New Roman"/>
        </w:rPr>
        <w:t xml:space="preserve">the </w:t>
      </w:r>
      <w:r w:rsidRPr="00955B14">
        <w:rPr>
          <w:rFonts w:eastAsia="Times New Roman"/>
        </w:rPr>
        <w:t>housing needs of vulnerable groups</w:t>
      </w:r>
      <w:r w:rsidR="008D2E15" w:rsidRPr="00955B14">
        <w:rPr>
          <w:rFonts w:eastAsia="Times New Roman"/>
        </w:rPr>
        <w:t>;</w:t>
      </w:r>
    </w:p>
    <w:p w:rsidR="00E62FD6" w:rsidRPr="00955B14" w:rsidRDefault="00E62FD6" w:rsidP="00955B14">
      <w:pPr>
        <w:pStyle w:val="ListParagraph"/>
        <w:numPr>
          <w:ilvl w:val="0"/>
          <w:numId w:val="29"/>
        </w:numPr>
        <w:rPr>
          <w:rFonts w:eastAsia="Times New Roman"/>
        </w:rPr>
      </w:pPr>
      <w:r w:rsidRPr="00955B14">
        <w:rPr>
          <w:rFonts w:eastAsia="Times New Roman"/>
        </w:rPr>
        <w:t>Priority 3 – Support growth of a balanced housing market</w:t>
      </w:r>
      <w:r w:rsidR="008D2E15" w:rsidRPr="00955B14">
        <w:rPr>
          <w:rFonts w:eastAsia="Times New Roman"/>
        </w:rPr>
        <w:t>; and</w:t>
      </w:r>
    </w:p>
    <w:p w:rsidR="00E62FD6" w:rsidRPr="00955B14" w:rsidRDefault="00E62FD6" w:rsidP="00955B14">
      <w:pPr>
        <w:pStyle w:val="ListParagraph"/>
        <w:numPr>
          <w:ilvl w:val="0"/>
          <w:numId w:val="29"/>
        </w:numPr>
        <w:rPr>
          <w:rFonts w:eastAsia="Times New Roman"/>
        </w:rPr>
      </w:pPr>
      <w:r w:rsidRPr="00955B14">
        <w:rPr>
          <w:rFonts w:eastAsia="Times New Roman"/>
        </w:rPr>
        <w:t>Priority 4 – Support sustainable communities</w:t>
      </w:r>
    </w:p>
    <w:p w:rsidR="00770186" w:rsidRDefault="00770186" w:rsidP="00955B14">
      <w:pPr>
        <w:rPr>
          <w:rFonts w:eastAsia="Times New Roman"/>
        </w:rPr>
      </w:pPr>
    </w:p>
    <w:p w:rsidR="008368A3" w:rsidRDefault="008368A3" w:rsidP="00E909B4">
      <w:pPr>
        <w:rPr>
          <w:rFonts w:eastAsia="Times New Roman"/>
        </w:rPr>
      </w:pPr>
    </w:p>
    <w:p w:rsidR="00EB26A9" w:rsidRPr="00770186" w:rsidRDefault="00770186" w:rsidP="00E909B4">
      <w:pPr>
        <w:rPr>
          <w:rFonts w:eastAsia="Times New Roman"/>
          <w:b/>
        </w:rPr>
      </w:pPr>
      <w:r w:rsidRPr="00770186">
        <w:rPr>
          <w:rFonts w:eastAsia="Times New Roman"/>
          <w:b/>
        </w:rPr>
        <w:t>Review of the 2012-15 Housing Strategy</w:t>
      </w:r>
    </w:p>
    <w:p w:rsidR="00770186" w:rsidRDefault="00770186" w:rsidP="00E909B4">
      <w:pPr>
        <w:rPr>
          <w:rFonts w:eastAsia="Times New Roman"/>
        </w:rPr>
      </w:pPr>
    </w:p>
    <w:p w:rsidR="0022327C" w:rsidRDefault="00770186" w:rsidP="00211354">
      <w:pPr>
        <w:ind w:left="720" w:hanging="720"/>
        <w:rPr>
          <w:rFonts w:eastAsia="Times New Roman"/>
        </w:rPr>
      </w:pPr>
      <w:r>
        <w:rPr>
          <w:rFonts w:eastAsia="Times New Roman"/>
        </w:rPr>
        <w:t>4</w:t>
      </w:r>
      <w:r>
        <w:rPr>
          <w:rFonts w:eastAsia="Times New Roman"/>
        </w:rPr>
        <w:tab/>
        <w:t xml:space="preserve">The </w:t>
      </w:r>
      <w:r w:rsidR="0072351D">
        <w:rPr>
          <w:rFonts w:eastAsia="Times New Roman"/>
        </w:rPr>
        <w:t xml:space="preserve">6 strategic priorities in the strategy were to be delivered through over 120 milestone actions. </w:t>
      </w:r>
      <w:r w:rsidR="0022327C">
        <w:rPr>
          <w:rFonts w:eastAsia="Times New Roman"/>
        </w:rPr>
        <w:t>Progress against these ha</w:t>
      </w:r>
      <w:r w:rsidR="00CB7A5E">
        <w:rPr>
          <w:rFonts w:eastAsia="Times New Roman"/>
        </w:rPr>
        <w:t>s</w:t>
      </w:r>
      <w:r w:rsidR="0022327C">
        <w:rPr>
          <w:rFonts w:eastAsia="Times New Roman"/>
        </w:rPr>
        <w:t xml:space="preserve"> been previously reported to City Executive Board, and the </w:t>
      </w:r>
      <w:r w:rsidR="0072351D">
        <w:rPr>
          <w:rFonts w:eastAsia="Times New Roman"/>
        </w:rPr>
        <w:t>new strategy reviews th</w:t>
      </w:r>
      <w:r w:rsidR="0022327C">
        <w:rPr>
          <w:rFonts w:eastAsia="Times New Roman"/>
        </w:rPr>
        <w:t xml:space="preserve">is also.  Approximately 98% of the actions have been completed, with the two remaining proposed to carry forward into the new strategy’s </w:t>
      </w:r>
      <w:r w:rsidR="00955B14">
        <w:rPr>
          <w:rFonts w:eastAsia="Times New Roman"/>
        </w:rPr>
        <w:t>a</w:t>
      </w:r>
      <w:r w:rsidR="0022327C">
        <w:rPr>
          <w:rFonts w:eastAsia="Times New Roman"/>
        </w:rPr>
        <w:t xml:space="preserve">ction </w:t>
      </w:r>
      <w:r w:rsidR="00955B14">
        <w:rPr>
          <w:rFonts w:eastAsia="Times New Roman"/>
        </w:rPr>
        <w:t>p</w:t>
      </w:r>
      <w:r w:rsidR="0022327C">
        <w:rPr>
          <w:rFonts w:eastAsia="Times New Roman"/>
        </w:rPr>
        <w:t>lan</w:t>
      </w:r>
      <w:r w:rsidR="0072351D">
        <w:rPr>
          <w:rFonts w:eastAsia="Times New Roman"/>
        </w:rPr>
        <w:t xml:space="preserve">.  </w:t>
      </w:r>
      <w:r w:rsidR="0022327C">
        <w:rPr>
          <w:rFonts w:eastAsia="Times New Roman"/>
        </w:rPr>
        <w:t xml:space="preserve"> The following is a brief summary of </w:t>
      </w:r>
      <w:r w:rsidR="00211354">
        <w:rPr>
          <w:rFonts w:eastAsia="Times New Roman"/>
        </w:rPr>
        <w:t>some</w:t>
      </w:r>
      <w:r w:rsidR="00955B14">
        <w:rPr>
          <w:rFonts w:eastAsia="Times New Roman"/>
        </w:rPr>
        <w:t xml:space="preserve"> of</w:t>
      </w:r>
      <w:r w:rsidR="00211354">
        <w:rPr>
          <w:rFonts w:eastAsia="Times New Roman"/>
        </w:rPr>
        <w:t xml:space="preserve"> </w:t>
      </w:r>
      <w:r w:rsidR="0022327C">
        <w:rPr>
          <w:rFonts w:eastAsia="Times New Roman"/>
        </w:rPr>
        <w:t>the key objectives achieved:</w:t>
      </w:r>
    </w:p>
    <w:p w:rsidR="00211354" w:rsidRDefault="00211354" w:rsidP="00211354"/>
    <w:p w:rsidR="00211354" w:rsidRDefault="00211354" w:rsidP="00955B14">
      <w:pPr>
        <w:pStyle w:val="ListParagraph"/>
        <w:numPr>
          <w:ilvl w:val="0"/>
          <w:numId w:val="31"/>
        </w:numPr>
      </w:pPr>
      <w:r>
        <w:t xml:space="preserve">Delivery of 113 new Council homes </w:t>
      </w:r>
      <w:r w:rsidR="00460B29">
        <w:t>nearing completion</w:t>
      </w:r>
    </w:p>
    <w:p w:rsidR="00211354" w:rsidRDefault="00211354" w:rsidP="00955B14">
      <w:pPr>
        <w:pStyle w:val="ListParagraph"/>
        <w:numPr>
          <w:ilvl w:val="0"/>
          <w:numId w:val="31"/>
        </w:numPr>
      </w:pPr>
      <w:r>
        <w:t>Barton Park strategic housing</w:t>
      </w:r>
      <w:r w:rsidR="00460B29">
        <w:t xml:space="preserve"> development</w:t>
      </w:r>
      <w:r>
        <w:t xml:space="preserve"> site commenced</w:t>
      </w:r>
    </w:p>
    <w:p w:rsidR="00211354" w:rsidRDefault="00211354" w:rsidP="00955B14">
      <w:pPr>
        <w:pStyle w:val="ListParagraph"/>
        <w:numPr>
          <w:ilvl w:val="0"/>
          <w:numId w:val="31"/>
        </w:numPr>
      </w:pPr>
      <w:r>
        <w:t>Affordable Housing Policy adopted</w:t>
      </w:r>
    </w:p>
    <w:p w:rsidR="00211354" w:rsidRDefault="00211354" w:rsidP="00955B14">
      <w:pPr>
        <w:pStyle w:val="ListParagraph"/>
        <w:numPr>
          <w:ilvl w:val="0"/>
          <w:numId w:val="31"/>
        </w:numPr>
      </w:pPr>
      <w:r>
        <w:t>Tenancy Strategy adopted</w:t>
      </w:r>
    </w:p>
    <w:p w:rsidR="00211354" w:rsidRDefault="00211354" w:rsidP="00955B14">
      <w:pPr>
        <w:pStyle w:val="ListParagraph"/>
        <w:numPr>
          <w:ilvl w:val="0"/>
          <w:numId w:val="31"/>
        </w:numPr>
      </w:pPr>
      <w:r>
        <w:t>New Empty Homes Strategy</w:t>
      </w:r>
    </w:p>
    <w:p w:rsidR="00211354" w:rsidRDefault="00211354" w:rsidP="00955B14">
      <w:pPr>
        <w:pStyle w:val="ListParagraph"/>
        <w:numPr>
          <w:ilvl w:val="0"/>
          <w:numId w:val="31"/>
        </w:numPr>
      </w:pPr>
      <w:r>
        <w:t>New Homelessness Strategy</w:t>
      </w:r>
    </w:p>
    <w:p w:rsidR="00211354" w:rsidRDefault="00211354" w:rsidP="00955B14">
      <w:pPr>
        <w:pStyle w:val="ListParagraph"/>
        <w:numPr>
          <w:ilvl w:val="0"/>
          <w:numId w:val="31"/>
        </w:numPr>
      </w:pPr>
      <w:r>
        <w:t xml:space="preserve">Households in Temporary Accommodation maintained below 120 </w:t>
      </w:r>
    </w:p>
    <w:p w:rsidR="00211354" w:rsidRDefault="00211354" w:rsidP="00955B14">
      <w:pPr>
        <w:pStyle w:val="ListParagraph"/>
        <w:numPr>
          <w:ilvl w:val="0"/>
          <w:numId w:val="31"/>
        </w:numPr>
      </w:pPr>
      <w:r>
        <w:t>New housing evidence base produced</w:t>
      </w:r>
    </w:p>
    <w:p w:rsidR="00211354" w:rsidRDefault="00211354" w:rsidP="00955B14">
      <w:pPr>
        <w:pStyle w:val="ListParagraph"/>
        <w:numPr>
          <w:ilvl w:val="0"/>
          <w:numId w:val="31"/>
        </w:numPr>
      </w:pPr>
      <w:r>
        <w:t>No Second Night Out project delivered</w:t>
      </w:r>
    </w:p>
    <w:p w:rsidR="00955B14" w:rsidRDefault="00955B14" w:rsidP="00955B14">
      <w:pPr>
        <w:pStyle w:val="ListParagraph"/>
        <w:numPr>
          <w:ilvl w:val="0"/>
          <w:numId w:val="31"/>
        </w:numPr>
      </w:pPr>
      <w:r>
        <w:t>Stock condition survey completed</w:t>
      </w:r>
    </w:p>
    <w:p w:rsidR="00211354" w:rsidRDefault="00211354" w:rsidP="00955B14">
      <w:pPr>
        <w:pStyle w:val="ListParagraph"/>
        <w:numPr>
          <w:ilvl w:val="0"/>
          <w:numId w:val="31"/>
        </w:numPr>
      </w:pPr>
      <w:r>
        <w:t>New Housing Asset Management Strategy</w:t>
      </w:r>
    </w:p>
    <w:p w:rsidR="00CB7A5E" w:rsidRDefault="00211354" w:rsidP="00CB7A5E">
      <w:pPr>
        <w:pStyle w:val="ListParagraph"/>
        <w:numPr>
          <w:ilvl w:val="0"/>
          <w:numId w:val="31"/>
        </w:numPr>
      </w:pPr>
      <w:r>
        <w:t>Regeneration projects at Blackbird Leys started</w:t>
      </w:r>
    </w:p>
    <w:p w:rsidR="00CB7A5E" w:rsidRDefault="00BC7E4E" w:rsidP="00955B14">
      <w:pPr>
        <w:pStyle w:val="ListParagraph"/>
        <w:numPr>
          <w:ilvl w:val="0"/>
          <w:numId w:val="32"/>
        </w:numPr>
      </w:pPr>
      <w:r>
        <w:t>T</w:t>
      </w:r>
      <w:r w:rsidR="00211354">
        <w:t xml:space="preserve">ower </w:t>
      </w:r>
      <w:r w:rsidR="007F10DB">
        <w:t>b</w:t>
      </w:r>
      <w:r w:rsidR="00211354">
        <w:t>lock</w:t>
      </w:r>
      <w:r w:rsidR="007F10DB">
        <w:t xml:space="preserve">s </w:t>
      </w:r>
      <w:r w:rsidR="00211354">
        <w:t xml:space="preserve"> </w:t>
      </w:r>
      <w:r w:rsidR="007F10DB">
        <w:t xml:space="preserve">major </w:t>
      </w:r>
      <w:r w:rsidR="00211354">
        <w:t>capital investment pro</w:t>
      </w:r>
      <w:r w:rsidR="007F10DB">
        <w:t>ject about to start</w:t>
      </w:r>
    </w:p>
    <w:p w:rsidR="00211354" w:rsidRDefault="00211354" w:rsidP="00955B14">
      <w:pPr>
        <w:pStyle w:val="ListParagraph"/>
        <w:numPr>
          <w:ilvl w:val="0"/>
          <w:numId w:val="32"/>
        </w:numPr>
      </w:pPr>
      <w:r>
        <w:t>HMO licensing continued successes</w:t>
      </w:r>
    </w:p>
    <w:p w:rsidR="00211354" w:rsidRDefault="00211354" w:rsidP="00955B14">
      <w:pPr>
        <w:pStyle w:val="ListParagraph"/>
        <w:numPr>
          <w:ilvl w:val="0"/>
          <w:numId w:val="32"/>
        </w:numPr>
      </w:pPr>
      <w:r>
        <w:t xml:space="preserve">55 ‘Affordable’ Extra Care apartments completed at </w:t>
      </w:r>
      <w:proofErr w:type="spellStart"/>
      <w:r>
        <w:t>Shotover</w:t>
      </w:r>
      <w:proofErr w:type="spellEnd"/>
      <w:r>
        <w:t xml:space="preserve"> View</w:t>
      </w:r>
    </w:p>
    <w:p w:rsidR="00211354" w:rsidRDefault="00211354" w:rsidP="00955B14">
      <w:pPr>
        <w:pStyle w:val="ListParagraph"/>
        <w:numPr>
          <w:ilvl w:val="0"/>
          <w:numId w:val="32"/>
        </w:numPr>
      </w:pPr>
      <w:r>
        <w:t>Revised Allocations Policy</w:t>
      </w:r>
      <w:r w:rsidR="00BC7E4E">
        <w:t xml:space="preserve"> implemented</w:t>
      </w:r>
    </w:p>
    <w:p w:rsidR="00211354" w:rsidRDefault="00211354" w:rsidP="00955B14">
      <w:pPr>
        <w:pStyle w:val="ListParagraph"/>
        <w:numPr>
          <w:ilvl w:val="0"/>
          <w:numId w:val="32"/>
        </w:numPr>
      </w:pPr>
      <w:r>
        <w:t>Local Offers established for tenants</w:t>
      </w:r>
    </w:p>
    <w:p w:rsidR="00211354" w:rsidRDefault="00211354" w:rsidP="00955B14">
      <w:pPr>
        <w:pStyle w:val="ListParagraph"/>
        <w:numPr>
          <w:ilvl w:val="0"/>
          <w:numId w:val="32"/>
        </w:numPr>
      </w:pPr>
      <w:r>
        <w:t>HRA Business Plan developed</w:t>
      </w:r>
    </w:p>
    <w:p w:rsidR="00211354" w:rsidRDefault="00211354" w:rsidP="0072351D">
      <w:pPr>
        <w:ind w:left="720" w:hanging="720"/>
        <w:rPr>
          <w:rFonts w:eastAsia="Times New Roman"/>
        </w:rPr>
      </w:pPr>
    </w:p>
    <w:p w:rsidR="008368A3" w:rsidRDefault="008368A3" w:rsidP="0072351D">
      <w:pPr>
        <w:ind w:left="720" w:hanging="720"/>
        <w:rPr>
          <w:rFonts w:eastAsia="Times New Roman"/>
        </w:rPr>
      </w:pPr>
    </w:p>
    <w:p w:rsidR="00E721A4" w:rsidRDefault="00E721A4" w:rsidP="0072351D">
      <w:pPr>
        <w:ind w:left="720" w:hanging="720"/>
        <w:rPr>
          <w:rFonts w:eastAsia="Times New Roman"/>
        </w:rPr>
      </w:pPr>
    </w:p>
    <w:p w:rsidR="00C2534E" w:rsidRPr="00C2534E" w:rsidRDefault="00770186" w:rsidP="00E909B4">
      <w:pPr>
        <w:rPr>
          <w:rFonts w:eastAsia="Times New Roman"/>
          <w:b/>
        </w:rPr>
      </w:pPr>
      <w:r>
        <w:rPr>
          <w:rFonts w:eastAsia="Times New Roman"/>
          <w:b/>
        </w:rPr>
        <w:lastRenderedPageBreak/>
        <w:t xml:space="preserve">New </w:t>
      </w:r>
      <w:r w:rsidR="00C2534E" w:rsidRPr="00C2534E">
        <w:rPr>
          <w:rFonts w:eastAsia="Times New Roman"/>
          <w:b/>
        </w:rPr>
        <w:t>Strategic Housing Priorities</w:t>
      </w:r>
    </w:p>
    <w:p w:rsidR="00C2534E" w:rsidRDefault="00C2534E" w:rsidP="00E909B4">
      <w:pPr>
        <w:rPr>
          <w:rFonts w:eastAsia="Times New Roman"/>
        </w:rPr>
      </w:pPr>
    </w:p>
    <w:p w:rsidR="008D2E15" w:rsidRPr="008D2E15" w:rsidRDefault="00211354" w:rsidP="00770186">
      <w:pPr>
        <w:ind w:left="720" w:hanging="720"/>
        <w:rPr>
          <w:rFonts w:eastAsia="Times New Roman"/>
        </w:rPr>
      </w:pPr>
      <w:r>
        <w:rPr>
          <w:rFonts w:eastAsia="Times New Roman"/>
        </w:rPr>
        <w:t>5</w:t>
      </w:r>
      <w:r w:rsidR="00EB26A9">
        <w:rPr>
          <w:rFonts w:eastAsia="Times New Roman"/>
        </w:rPr>
        <w:tab/>
      </w:r>
      <w:r w:rsidR="00C2534E">
        <w:rPr>
          <w:rFonts w:eastAsia="Times New Roman"/>
        </w:rPr>
        <w:t>The new strategy recognises</w:t>
      </w:r>
      <w:r w:rsidR="00770186">
        <w:rPr>
          <w:rFonts w:eastAsia="Times New Roman"/>
        </w:rPr>
        <w:t xml:space="preserve"> the challenging national and local contexts, with recent reports identifying Oxford as the least affordable city in the country.  It recognises that Oxford City Council has already taken a number of steps to address local housing needs, not least in through its own house building programme, but the enormity of the gap between housing supply and housing need is not under estimated.  </w:t>
      </w:r>
      <w:r>
        <w:rPr>
          <w:rFonts w:eastAsia="Times New Roman"/>
        </w:rPr>
        <w:t>The strategy proposes 4 new strategic priorities, which are summarised below and developed further in the main body of the strategy</w:t>
      </w:r>
    </w:p>
    <w:p w:rsidR="008D2E15" w:rsidRDefault="008D2E15" w:rsidP="00E909B4">
      <w:pPr>
        <w:rPr>
          <w:rFonts w:eastAsia="Times New Roman"/>
        </w:rPr>
      </w:pPr>
    </w:p>
    <w:p w:rsidR="00211354" w:rsidRPr="00B60036" w:rsidRDefault="00211354" w:rsidP="00B60036">
      <w:pPr>
        <w:rPr>
          <w:rFonts w:eastAsia="Times New Roman"/>
          <w:u w:val="single"/>
        </w:rPr>
      </w:pPr>
      <w:r w:rsidRPr="00B60036">
        <w:rPr>
          <w:rFonts w:eastAsia="Times New Roman"/>
          <w:u w:val="single"/>
        </w:rPr>
        <w:t>Priority 1 – Increase supply and improve access to affordable housing</w:t>
      </w:r>
    </w:p>
    <w:p w:rsidR="00B60036" w:rsidRDefault="00B60036" w:rsidP="003E5AF0">
      <w:pPr>
        <w:rPr>
          <w:rFonts w:eastAsia="Times New Roman"/>
        </w:rPr>
      </w:pPr>
    </w:p>
    <w:p w:rsidR="00211354" w:rsidRDefault="00B60036" w:rsidP="001E4EFB">
      <w:pPr>
        <w:ind w:left="720" w:hanging="720"/>
        <w:rPr>
          <w:rFonts w:eastAsia="Times New Roman"/>
        </w:rPr>
      </w:pPr>
      <w:r>
        <w:rPr>
          <w:rFonts w:eastAsia="Times New Roman"/>
        </w:rPr>
        <w:t>6</w:t>
      </w:r>
      <w:r>
        <w:rPr>
          <w:rFonts w:eastAsia="Times New Roman"/>
        </w:rPr>
        <w:tab/>
      </w:r>
      <w:r w:rsidR="001E4EFB">
        <w:rPr>
          <w:rFonts w:eastAsia="Times New Roman"/>
        </w:rPr>
        <w:t>This priority seeks to improve the supply of affordable housing to meet the housing needs of Oxford.  It recognises that this cannot be entirely achieved within the current administrative boundaries of Oxford, nor through the provision of social housing alone.  Actions seek to improve access to private rented accommodation, as well as exploring new models of supply</w:t>
      </w:r>
      <w:r w:rsidR="008368A3">
        <w:rPr>
          <w:rFonts w:eastAsia="Times New Roman"/>
        </w:rPr>
        <w:t xml:space="preserve">.  This is </w:t>
      </w:r>
      <w:r w:rsidR="001E4EFB">
        <w:rPr>
          <w:rFonts w:eastAsia="Times New Roman"/>
        </w:rPr>
        <w:t>through direct Council investment, and</w:t>
      </w:r>
      <w:r w:rsidR="008368A3">
        <w:rPr>
          <w:rFonts w:eastAsia="Times New Roman"/>
        </w:rPr>
        <w:t xml:space="preserve"> also </w:t>
      </w:r>
      <w:r w:rsidR="001E4EFB">
        <w:rPr>
          <w:rFonts w:eastAsia="Times New Roman"/>
        </w:rPr>
        <w:t xml:space="preserve">effective partnership working with partners and other agencies. </w:t>
      </w:r>
      <w:r w:rsidR="004E1090">
        <w:rPr>
          <w:rFonts w:eastAsia="Times New Roman"/>
        </w:rPr>
        <w:t>This will include reviewing the range</w:t>
      </w:r>
      <w:r w:rsidR="00311673">
        <w:rPr>
          <w:rFonts w:eastAsia="Times New Roman"/>
        </w:rPr>
        <w:t xml:space="preserve"> of</w:t>
      </w:r>
      <w:r w:rsidR="004E1090">
        <w:rPr>
          <w:rFonts w:eastAsia="Times New Roman"/>
        </w:rPr>
        <w:t xml:space="preserve"> affordable tenures: including social and intermediate rental, as well as key worker, shared equity and other options. </w:t>
      </w:r>
      <w:r w:rsidR="001E4EFB">
        <w:rPr>
          <w:rFonts w:eastAsia="Times New Roman"/>
        </w:rPr>
        <w:t>The objectives within this priority comprise the following:</w:t>
      </w:r>
    </w:p>
    <w:p w:rsidR="00211354" w:rsidRDefault="00211354" w:rsidP="00211354">
      <w:pPr>
        <w:ind w:left="720"/>
        <w:rPr>
          <w:rFonts w:eastAsia="Times New Roman"/>
        </w:rPr>
      </w:pPr>
    </w:p>
    <w:p w:rsidR="00F234EE" w:rsidRPr="00731D61" w:rsidRDefault="00F234EE" w:rsidP="00BC7E4E">
      <w:pPr>
        <w:pStyle w:val="ListParagraph"/>
        <w:numPr>
          <w:ilvl w:val="0"/>
          <w:numId w:val="33"/>
        </w:numPr>
      </w:pPr>
      <w:r w:rsidRPr="00731D61">
        <w:t>Increase the supply of affordable housing</w:t>
      </w:r>
    </w:p>
    <w:p w:rsidR="00F234EE" w:rsidRPr="00731D61" w:rsidRDefault="00F234EE" w:rsidP="00BC7E4E">
      <w:pPr>
        <w:pStyle w:val="ListParagraph"/>
        <w:numPr>
          <w:ilvl w:val="0"/>
          <w:numId w:val="33"/>
        </w:numPr>
      </w:pPr>
      <w:r w:rsidRPr="00731D61">
        <w:t>Improve access to housing</w:t>
      </w:r>
    </w:p>
    <w:p w:rsidR="00F234EE" w:rsidRPr="00731D61" w:rsidRDefault="00F234EE" w:rsidP="00BC7E4E">
      <w:pPr>
        <w:pStyle w:val="ListParagraph"/>
        <w:numPr>
          <w:ilvl w:val="0"/>
          <w:numId w:val="33"/>
        </w:numPr>
      </w:pPr>
      <w:r w:rsidRPr="00731D61">
        <w:t xml:space="preserve">Improve access to the </w:t>
      </w:r>
      <w:r w:rsidR="008368A3">
        <w:t xml:space="preserve">private rented sector </w:t>
      </w:r>
      <w:r w:rsidRPr="00731D61">
        <w:t>to address homelessness</w:t>
      </w:r>
    </w:p>
    <w:p w:rsidR="00F234EE" w:rsidRPr="00211354" w:rsidRDefault="00F234EE" w:rsidP="00F234EE">
      <w:pPr>
        <w:rPr>
          <w:rFonts w:eastAsia="Times New Roman"/>
        </w:rPr>
      </w:pPr>
    </w:p>
    <w:p w:rsidR="00211354" w:rsidRPr="00B60036" w:rsidRDefault="00211354" w:rsidP="003E5AF0">
      <w:pPr>
        <w:rPr>
          <w:rFonts w:eastAsia="Times New Roman"/>
          <w:u w:val="single"/>
        </w:rPr>
      </w:pPr>
      <w:r w:rsidRPr="00B60036">
        <w:rPr>
          <w:rFonts w:eastAsia="Times New Roman"/>
          <w:u w:val="single"/>
        </w:rPr>
        <w:t>Priority 2 – Meet the housing needs of vulnerable groups</w:t>
      </w:r>
    </w:p>
    <w:p w:rsidR="00211354" w:rsidRDefault="00211354" w:rsidP="00B60036">
      <w:pPr>
        <w:rPr>
          <w:rFonts w:eastAsia="Times New Roman"/>
        </w:rPr>
      </w:pPr>
    </w:p>
    <w:p w:rsidR="001E4EFB" w:rsidRDefault="00B60036" w:rsidP="001E4EFB">
      <w:pPr>
        <w:ind w:left="720" w:hanging="720"/>
        <w:rPr>
          <w:rFonts w:eastAsia="Times New Roman"/>
        </w:rPr>
      </w:pPr>
      <w:r>
        <w:rPr>
          <w:rFonts w:eastAsia="Times New Roman"/>
        </w:rPr>
        <w:t>7</w:t>
      </w:r>
      <w:r>
        <w:rPr>
          <w:rFonts w:eastAsia="Times New Roman"/>
        </w:rPr>
        <w:tab/>
      </w:r>
      <w:r w:rsidR="001E4EFB">
        <w:rPr>
          <w:rFonts w:eastAsia="Times New Roman"/>
        </w:rPr>
        <w:t xml:space="preserve">Objectives within this priority seek to ensure the maintenance and development of a range of provision for elderly persons; disabled persons; and persons vulnerable as a result of their homelessness, whether the Council </w:t>
      </w:r>
      <w:r w:rsidR="008368A3">
        <w:rPr>
          <w:rFonts w:eastAsia="Times New Roman"/>
        </w:rPr>
        <w:t xml:space="preserve">may have </w:t>
      </w:r>
      <w:r w:rsidR="001E4EFB">
        <w:rPr>
          <w:rFonts w:eastAsia="Times New Roman"/>
        </w:rPr>
        <w:t xml:space="preserve">a statutory duty to them, or not.  </w:t>
      </w:r>
      <w:r w:rsidR="008368A3">
        <w:rPr>
          <w:rFonts w:eastAsia="Times New Roman"/>
        </w:rPr>
        <w:t xml:space="preserve">Actions also </w:t>
      </w:r>
      <w:r w:rsidR="001E4EFB">
        <w:rPr>
          <w:rFonts w:eastAsia="Times New Roman"/>
        </w:rPr>
        <w:t xml:space="preserve">seek to help address the health and well-being of vulnerable persons, through effective joint working with health </w:t>
      </w:r>
      <w:r w:rsidR="009D3B04">
        <w:rPr>
          <w:rFonts w:eastAsia="Times New Roman"/>
        </w:rPr>
        <w:t>partners and others.</w:t>
      </w:r>
      <w:r w:rsidR="004E1090">
        <w:rPr>
          <w:rFonts w:eastAsia="Times New Roman"/>
        </w:rPr>
        <w:t xml:space="preserve"> This will include reviewing the supply and demand of different forms of sheltered and elderly housing provision, and links with supporting services and options for people downsizing.</w:t>
      </w:r>
      <w:r w:rsidR="009D3B04">
        <w:rPr>
          <w:rFonts w:eastAsia="Times New Roman"/>
        </w:rPr>
        <w:t xml:space="preserve">  </w:t>
      </w:r>
      <w:r w:rsidR="001E4EFB">
        <w:rPr>
          <w:rFonts w:eastAsia="Times New Roman"/>
        </w:rPr>
        <w:t>The objectives within this priority comprise the following:</w:t>
      </w:r>
    </w:p>
    <w:p w:rsidR="00F234EE" w:rsidRDefault="00F234EE" w:rsidP="00B60036">
      <w:pPr>
        <w:rPr>
          <w:rFonts w:eastAsia="Times New Roman"/>
        </w:rPr>
      </w:pPr>
    </w:p>
    <w:p w:rsidR="00F234EE" w:rsidRPr="00731D61" w:rsidRDefault="00F234EE" w:rsidP="00BC7E4E">
      <w:pPr>
        <w:pStyle w:val="ListParagraph"/>
        <w:numPr>
          <w:ilvl w:val="0"/>
          <w:numId w:val="34"/>
        </w:numPr>
      </w:pPr>
      <w:r w:rsidRPr="00731D61">
        <w:t>Provide a range of housing provision for older people</w:t>
      </w:r>
    </w:p>
    <w:p w:rsidR="00F234EE" w:rsidRPr="00731D61" w:rsidRDefault="00F234EE" w:rsidP="00BC7E4E">
      <w:pPr>
        <w:pStyle w:val="ListParagraph"/>
        <w:numPr>
          <w:ilvl w:val="0"/>
          <w:numId w:val="34"/>
        </w:numPr>
      </w:pPr>
      <w:r w:rsidRPr="00731D61">
        <w:t xml:space="preserve">Improve the </w:t>
      </w:r>
      <w:r w:rsidR="008368A3">
        <w:t>health &amp; w</w:t>
      </w:r>
      <w:r w:rsidRPr="00731D61">
        <w:t xml:space="preserve">ellbeing of homeless households </w:t>
      </w:r>
      <w:r w:rsidR="00BC7E4E">
        <w:t>and</w:t>
      </w:r>
      <w:r w:rsidRPr="00731D61">
        <w:t xml:space="preserve"> other vulnerable groups</w:t>
      </w:r>
    </w:p>
    <w:p w:rsidR="00F234EE" w:rsidRPr="00731D61" w:rsidRDefault="00F234EE" w:rsidP="00BC7E4E">
      <w:pPr>
        <w:pStyle w:val="ListParagraph"/>
        <w:numPr>
          <w:ilvl w:val="0"/>
          <w:numId w:val="34"/>
        </w:numPr>
      </w:pPr>
      <w:r w:rsidRPr="00731D61">
        <w:t xml:space="preserve">Prevent and respond to </w:t>
      </w:r>
      <w:r w:rsidR="008368A3">
        <w:t>r</w:t>
      </w:r>
      <w:r w:rsidRPr="00731D61">
        <w:t xml:space="preserve">ough </w:t>
      </w:r>
      <w:r w:rsidR="008368A3">
        <w:t>s</w:t>
      </w:r>
      <w:r w:rsidRPr="00731D61">
        <w:t>leeping</w:t>
      </w:r>
    </w:p>
    <w:p w:rsidR="00F234EE" w:rsidRPr="00731D61" w:rsidRDefault="00F234EE" w:rsidP="00BC7E4E">
      <w:pPr>
        <w:pStyle w:val="ListParagraph"/>
        <w:numPr>
          <w:ilvl w:val="0"/>
          <w:numId w:val="34"/>
        </w:numPr>
      </w:pPr>
      <w:r w:rsidRPr="00731D61">
        <w:t>Prevent and respond to homelessness</w:t>
      </w:r>
    </w:p>
    <w:p w:rsidR="00F234EE" w:rsidRPr="00731D61" w:rsidRDefault="00F234EE" w:rsidP="00F234EE">
      <w:pPr>
        <w:pStyle w:val="ListParagraph"/>
        <w:numPr>
          <w:ilvl w:val="0"/>
          <w:numId w:val="24"/>
        </w:numPr>
      </w:pPr>
      <w:r w:rsidRPr="00731D61">
        <w:t>Ensure that the provision of accessible housing meets housing needs and improves housing options for disabled people</w:t>
      </w:r>
    </w:p>
    <w:p w:rsidR="00211354" w:rsidRDefault="00211354" w:rsidP="00F234EE">
      <w:pPr>
        <w:rPr>
          <w:rFonts w:eastAsia="Times New Roman"/>
        </w:rPr>
      </w:pPr>
    </w:p>
    <w:p w:rsidR="00E721A4" w:rsidRDefault="00E721A4" w:rsidP="00F234EE">
      <w:pPr>
        <w:rPr>
          <w:rFonts w:eastAsia="Times New Roman"/>
        </w:rPr>
      </w:pPr>
    </w:p>
    <w:p w:rsidR="00E721A4" w:rsidRPr="00211354" w:rsidRDefault="00E721A4" w:rsidP="00F234EE">
      <w:pPr>
        <w:rPr>
          <w:rFonts w:eastAsia="Times New Roman"/>
        </w:rPr>
      </w:pPr>
    </w:p>
    <w:p w:rsidR="00211354" w:rsidRPr="00B60036" w:rsidRDefault="00211354" w:rsidP="003E5AF0">
      <w:pPr>
        <w:rPr>
          <w:rFonts w:eastAsia="Times New Roman"/>
          <w:u w:val="single"/>
        </w:rPr>
      </w:pPr>
      <w:r w:rsidRPr="00B60036">
        <w:rPr>
          <w:rFonts w:eastAsia="Times New Roman"/>
          <w:u w:val="single"/>
        </w:rPr>
        <w:lastRenderedPageBreak/>
        <w:t>Priority 3 – Support growth of a balanced housing market</w:t>
      </w:r>
    </w:p>
    <w:p w:rsidR="00211354" w:rsidRDefault="00211354" w:rsidP="00B60036">
      <w:pPr>
        <w:rPr>
          <w:rFonts w:eastAsia="Times New Roman"/>
        </w:rPr>
      </w:pPr>
    </w:p>
    <w:p w:rsidR="001E4EFB" w:rsidRDefault="00B60036" w:rsidP="001E4EFB">
      <w:pPr>
        <w:ind w:left="720" w:hanging="720"/>
        <w:rPr>
          <w:rFonts w:eastAsia="Times New Roman"/>
        </w:rPr>
      </w:pPr>
      <w:r>
        <w:rPr>
          <w:rFonts w:eastAsia="Times New Roman"/>
        </w:rPr>
        <w:t>8</w:t>
      </w:r>
      <w:r>
        <w:rPr>
          <w:rFonts w:eastAsia="Times New Roman"/>
        </w:rPr>
        <w:tab/>
      </w:r>
      <w:r w:rsidR="008368A3">
        <w:rPr>
          <w:rFonts w:eastAsia="Times New Roman"/>
        </w:rPr>
        <w:t xml:space="preserve">As with the first priority, this priority also concentrates on improved housing supply, but this has a wider </w:t>
      </w:r>
      <w:r w:rsidR="000C46D1">
        <w:rPr>
          <w:rFonts w:eastAsia="Times New Roman"/>
        </w:rPr>
        <w:t>remit</w:t>
      </w:r>
      <w:r w:rsidR="008368A3">
        <w:rPr>
          <w:rFonts w:eastAsia="Times New Roman"/>
        </w:rPr>
        <w:t xml:space="preserve"> – on housing growth generally – than priority 1, which </w:t>
      </w:r>
      <w:r w:rsidR="000C46D1">
        <w:rPr>
          <w:rFonts w:eastAsia="Times New Roman"/>
        </w:rPr>
        <w:t xml:space="preserve">focuses on </w:t>
      </w:r>
      <w:r w:rsidR="008368A3">
        <w:rPr>
          <w:rFonts w:eastAsia="Times New Roman"/>
        </w:rPr>
        <w:t xml:space="preserve">affordable housing.  This priority </w:t>
      </w:r>
      <w:r w:rsidR="000C46D1">
        <w:rPr>
          <w:rFonts w:eastAsia="Times New Roman"/>
        </w:rPr>
        <w:t xml:space="preserve">area looks at alternative </w:t>
      </w:r>
      <w:r w:rsidR="008368A3">
        <w:rPr>
          <w:rFonts w:eastAsia="Times New Roman"/>
        </w:rPr>
        <w:t xml:space="preserve">models of redevelopment and partnership working to bring forward new </w:t>
      </w:r>
      <w:r w:rsidR="000C46D1">
        <w:rPr>
          <w:rFonts w:eastAsia="Times New Roman"/>
        </w:rPr>
        <w:t xml:space="preserve">sites </w:t>
      </w:r>
      <w:r w:rsidR="008368A3">
        <w:rPr>
          <w:rFonts w:eastAsia="Times New Roman"/>
        </w:rPr>
        <w:t>and regeneration s</w:t>
      </w:r>
      <w:r w:rsidR="000C46D1">
        <w:rPr>
          <w:rFonts w:eastAsia="Times New Roman"/>
        </w:rPr>
        <w:t>chemes.</w:t>
      </w:r>
      <w:r w:rsidR="00B17A96">
        <w:rPr>
          <w:rFonts w:eastAsia="Times New Roman"/>
        </w:rPr>
        <w:t xml:space="preserve"> As part of this commitment the Council launched its Affordable Homes programme to deliver 1,000 new affordable homes.</w:t>
      </w:r>
      <w:r w:rsidR="000C46D1">
        <w:rPr>
          <w:rFonts w:eastAsia="Times New Roman"/>
        </w:rPr>
        <w:t xml:space="preserve">  </w:t>
      </w:r>
      <w:r w:rsidR="008368A3">
        <w:rPr>
          <w:rFonts w:eastAsia="Times New Roman"/>
        </w:rPr>
        <w:t xml:space="preserve"> </w:t>
      </w:r>
      <w:r w:rsidR="001E4EFB">
        <w:rPr>
          <w:rFonts w:eastAsia="Times New Roman"/>
        </w:rPr>
        <w:t>The objectives within this priority comprise the following:</w:t>
      </w:r>
    </w:p>
    <w:p w:rsidR="00F234EE" w:rsidRDefault="00F234EE" w:rsidP="00B60036">
      <w:pPr>
        <w:rPr>
          <w:rFonts w:eastAsia="Times New Roman"/>
        </w:rPr>
      </w:pPr>
    </w:p>
    <w:p w:rsidR="00F234EE" w:rsidRPr="00731D61" w:rsidRDefault="00F234EE" w:rsidP="00F234EE">
      <w:pPr>
        <w:pStyle w:val="ListParagraph"/>
        <w:numPr>
          <w:ilvl w:val="0"/>
          <w:numId w:val="23"/>
        </w:numPr>
      </w:pPr>
      <w:r w:rsidRPr="00731D61">
        <w:t>Improve Housing Market Operation</w:t>
      </w:r>
    </w:p>
    <w:p w:rsidR="00F234EE" w:rsidRPr="00731D61" w:rsidRDefault="00F234EE" w:rsidP="00F234EE">
      <w:pPr>
        <w:pStyle w:val="ListParagraph"/>
        <w:numPr>
          <w:ilvl w:val="0"/>
          <w:numId w:val="23"/>
        </w:numPr>
      </w:pPr>
      <w:r w:rsidRPr="00731D61">
        <w:t>Increase the supply of public sector land to deliver new homes</w:t>
      </w:r>
    </w:p>
    <w:p w:rsidR="00F234EE" w:rsidRPr="00731D61" w:rsidRDefault="00F234EE" w:rsidP="00F234EE">
      <w:pPr>
        <w:pStyle w:val="ListParagraph"/>
        <w:numPr>
          <w:ilvl w:val="0"/>
          <w:numId w:val="23"/>
        </w:numPr>
      </w:pPr>
      <w:r w:rsidRPr="00731D61">
        <w:t>Bring forward key strategic sites to support City Deal and meet housing need</w:t>
      </w:r>
    </w:p>
    <w:p w:rsidR="00F234EE" w:rsidRPr="00211354" w:rsidRDefault="00F234EE" w:rsidP="00F234EE">
      <w:pPr>
        <w:rPr>
          <w:rFonts w:eastAsia="Times New Roman"/>
        </w:rPr>
      </w:pPr>
    </w:p>
    <w:p w:rsidR="00211354" w:rsidRPr="00B60036" w:rsidRDefault="00211354" w:rsidP="003E5AF0">
      <w:pPr>
        <w:rPr>
          <w:rFonts w:eastAsia="Times New Roman"/>
          <w:u w:val="single"/>
        </w:rPr>
      </w:pPr>
      <w:r w:rsidRPr="00B60036">
        <w:rPr>
          <w:rFonts w:eastAsia="Times New Roman"/>
          <w:u w:val="single"/>
        </w:rPr>
        <w:t>Priority 4 – Support sustainable communities</w:t>
      </w:r>
    </w:p>
    <w:p w:rsidR="00211354" w:rsidRDefault="00211354" w:rsidP="00E909B4">
      <w:pPr>
        <w:rPr>
          <w:rFonts w:eastAsia="Times New Roman"/>
        </w:rPr>
      </w:pPr>
    </w:p>
    <w:p w:rsidR="001E4EFB" w:rsidRDefault="00B60036" w:rsidP="001E4EFB">
      <w:pPr>
        <w:ind w:left="720" w:hanging="720"/>
        <w:rPr>
          <w:rFonts w:eastAsia="Times New Roman"/>
        </w:rPr>
      </w:pPr>
      <w:r>
        <w:rPr>
          <w:rFonts w:eastAsia="Times New Roman"/>
        </w:rPr>
        <w:t>9</w:t>
      </w:r>
      <w:r w:rsidR="001E4EFB">
        <w:rPr>
          <w:rFonts w:eastAsia="Times New Roman"/>
        </w:rPr>
        <w:tab/>
      </w:r>
      <w:r w:rsidR="000C46D1">
        <w:rPr>
          <w:rFonts w:eastAsia="Times New Roman"/>
        </w:rPr>
        <w:t>Objectives within this priority include a range of measures to improve housing, health and well-being outcomes across various communities in Oxford, and across different tenures.  Actions identified in this area, include work to bring up the standards of private rented accommodation, and measures to direct significant capital investment into the Council’s own housing stock and estates</w:t>
      </w:r>
      <w:r w:rsidR="00BC7E4E">
        <w:rPr>
          <w:rFonts w:eastAsia="Times New Roman"/>
        </w:rPr>
        <w:t xml:space="preserve"> with the adoption of a new ‘Oxford </w:t>
      </w:r>
      <w:r w:rsidR="00B17A96">
        <w:rPr>
          <w:rFonts w:eastAsia="Times New Roman"/>
        </w:rPr>
        <w:t>S</w:t>
      </w:r>
      <w:r w:rsidR="00BC7E4E">
        <w:rPr>
          <w:rFonts w:eastAsia="Times New Roman"/>
        </w:rPr>
        <w:t>tandard’</w:t>
      </w:r>
      <w:r w:rsidR="00B17A96">
        <w:rPr>
          <w:rFonts w:eastAsia="Times New Roman"/>
        </w:rPr>
        <w:t xml:space="preserve"> and our developing plans through the ‘Great Estates’ programme and the priority areas of the Leys, Barton and Rose Hill</w:t>
      </w:r>
      <w:r w:rsidR="000C46D1">
        <w:rPr>
          <w:rFonts w:eastAsia="Times New Roman"/>
        </w:rPr>
        <w:t xml:space="preserve">.  </w:t>
      </w:r>
      <w:r w:rsidR="001E4EFB">
        <w:rPr>
          <w:rFonts w:eastAsia="Times New Roman"/>
        </w:rPr>
        <w:t>The objectives within this priority comprise the following:</w:t>
      </w:r>
    </w:p>
    <w:p w:rsidR="00B60036" w:rsidRDefault="00B60036" w:rsidP="00E909B4">
      <w:pPr>
        <w:rPr>
          <w:rFonts w:eastAsia="Times New Roman"/>
        </w:rPr>
      </w:pPr>
      <w:r>
        <w:rPr>
          <w:rFonts w:eastAsia="Times New Roman"/>
        </w:rPr>
        <w:tab/>
      </w:r>
    </w:p>
    <w:p w:rsidR="00F234EE" w:rsidRPr="00731D61" w:rsidRDefault="00F234EE" w:rsidP="00BC7E4E">
      <w:pPr>
        <w:pStyle w:val="ListParagraph"/>
        <w:numPr>
          <w:ilvl w:val="0"/>
          <w:numId w:val="35"/>
        </w:numPr>
      </w:pPr>
      <w:r w:rsidRPr="00731D61">
        <w:t>Improve partnerships between housing, health and education providers</w:t>
      </w:r>
    </w:p>
    <w:p w:rsidR="00F234EE" w:rsidRPr="00731D61" w:rsidRDefault="00F234EE" w:rsidP="00BC7E4E">
      <w:pPr>
        <w:pStyle w:val="ListParagraph"/>
        <w:numPr>
          <w:ilvl w:val="0"/>
          <w:numId w:val="35"/>
        </w:numPr>
      </w:pPr>
      <w:r w:rsidRPr="00731D61">
        <w:t>Improve the environments where people live</w:t>
      </w:r>
    </w:p>
    <w:p w:rsidR="00F234EE" w:rsidRPr="00F234EE" w:rsidRDefault="00F234EE" w:rsidP="00BC7E4E">
      <w:pPr>
        <w:pStyle w:val="ListParagraph"/>
        <w:numPr>
          <w:ilvl w:val="0"/>
          <w:numId w:val="35"/>
        </w:numPr>
      </w:pPr>
      <w:r w:rsidRPr="00731D61">
        <w:t xml:space="preserve">Address impact of poverty in deprived areas and improve outcomes for </w:t>
      </w:r>
      <w:r w:rsidRPr="00F234EE">
        <w:t>individuals through social and financial inclusion initiatives</w:t>
      </w:r>
    </w:p>
    <w:p w:rsidR="00F234EE" w:rsidRPr="00F234EE" w:rsidRDefault="00F234EE" w:rsidP="00BC7E4E">
      <w:pPr>
        <w:pStyle w:val="ListParagraph"/>
        <w:numPr>
          <w:ilvl w:val="0"/>
          <w:numId w:val="35"/>
        </w:numPr>
      </w:pPr>
      <w:r w:rsidRPr="00F234EE">
        <w:t>Increase housing choice for households on average income</w:t>
      </w:r>
    </w:p>
    <w:p w:rsidR="00F234EE" w:rsidRPr="00731D61" w:rsidRDefault="00F234EE" w:rsidP="00BC7E4E">
      <w:pPr>
        <w:pStyle w:val="ListParagraph"/>
        <w:numPr>
          <w:ilvl w:val="0"/>
          <w:numId w:val="35"/>
        </w:numPr>
      </w:pPr>
      <w:r w:rsidRPr="00F234EE">
        <w:t>Improve communications with hard to reach households, particularly in the Private</w:t>
      </w:r>
      <w:r w:rsidRPr="00731D61">
        <w:t xml:space="preserve"> Rented Sector</w:t>
      </w:r>
    </w:p>
    <w:p w:rsidR="00F234EE" w:rsidRPr="00731D61" w:rsidRDefault="00F234EE" w:rsidP="00BC7E4E">
      <w:pPr>
        <w:pStyle w:val="ListParagraph"/>
        <w:numPr>
          <w:ilvl w:val="0"/>
          <w:numId w:val="35"/>
        </w:numPr>
      </w:pPr>
      <w:r w:rsidRPr="00731D61">
        <w:t>Reduce health inequalities in the City through sustained investment in existing homes</w:t>
      </w:r>
    </w:p>
    <w:p w:rsidR="00F234EE" w:rsidRPr="00731D61" w:rsidRDefault="00F234EE" w:rsidP="00BC7E4E">
      <w:pPr>
        <w:pStyle w:val="ListParagraph"/>
        <w:numPr>
          <w:ilvl w:val="0"/>
          <w:numId w:val="35"/>
        </w:numPr>
      </w:pPr>
      <w:r w:rsidRPr="00731D61">
        <w:t>Prioritise the energy efficiency of properties to increase tenant resilience to fuel poverty</w:t>
      </w:r>
    </w:p>
    <w:p w:rsidR="008368A3" w:rsidRDefault="008368A3" w:rsidP="00E909B4">
      <w:pPr>
        <w:rPr>
          <w:rFonts w:eastAsia="Times New Roman"/>
        </w:rPr>
      </w:pPr>
    </w:p>
    <w:p w:rsidR="00E909B4" w:rsidRDefault="00ED46BA" w:rsidP="00E909B4">
      <w:pPr>
        <w:rPr>
          <w:rFonts w:eastAsia="Times New Roman"/>
          <w:b/>
        </w:rPr>
      </w:pPr>
      <w:r>
        <w:rPr>
          <w:rFonts w:eastAsia="Times New Roman"/>
          <w:b/>
        </w:rPr>
        <w:t>Consultation Responses</w:t>
      </w:r>
    </w:p>
    <w:p w:rsidR="00E909B4" w:rsidRDefault="00E909B4" w:rsidP="00E909B4">
      <w:pPr>
        <w:rPr>
          <w:rFonts w:eastAsia="Times New Roman"/>
          <w:b/>
        </w:rPr>
      </w:pPr>
    </w:p>
    <w:p w:rsidR="00E36250" w:rsidRDefault="003E5AF0" w:rsidP="00E909B4">
      <w:pPr>
        <w:ind w:left="720" w:hanging="720"/>
        <w:rPr>
          <w:rFonts w:eastAsia="Times New Roman"/>
        </w:rPr>
      </w:pPr>
      <w:r>
        <w:rPr>
          <w:rFonts w:eastAsia="Times New Roman"/>
        </w:rPr>
        <w:t>10</w:t>
      </w:r>
      <w:r w:rsidR="00E909B4">
        <w:rPr>
          <w:rFonts w:eastAsia="Times New Roman"/>
          <w:b/>
        </w:rPr>
        <w:t xml:space="preserve"> </w:t>
      </w:r>
      <w:r w:rsidR="00E909B4">
        <w:rPr>
          <w:rFonts w:eastAsia="Times New Roman"/>
          <w:b/>
        </w:rPr>
        <w:tab/>
      </w:r>
      <w:r w:rsidR="00FE16E1">
        <w:t xml:space="preserve">There were 58 responses to the </w:t>
      </w:r>
      <w:r w:rsidR="00F47159">
        <w:t xml:space="preserve">draft </w:t>
      </w:r>
      <w:r w:rsidR="00FE16E1">
        <w:t>Housing Strate</w:t>
      </w:r>
      <w:r w:rsidR="00EB26A9">
        <w:t>gy</w:t>
      </w:r>
      <w:r w:rsidR="00F47159">
        <w:t xml:space="preserve"> </w:t>
      </w:r>
      <w:r w:rsidR="00FE16E1">
        <w:t>consultation.  In general, most respondents agreed that the 4 priorities drafted in the Strategy were right for meeting the challenges for Oxford over the next 3 years and beyond.  In terms of the action plan, 59% agreed that the actions would meet the objectives of the Housing Strategy, with 41% stating that the actions would onl</w:t>
      </w:r>
      <w:r w:rsidR="00211354">
        <w:t>y partially meet the objectives</w:t>
      </w:r>
    </w:p>
    <w:p w:rsidR="00F1142F" w:rsidRDefault="00F1142F" w:rsidP="00E909B4">
      <w:pPr>
        <w:ind w:left="720" w:hanging="720"/>
        <w:rPr>
          <w:rFonts w:eastAsia="Times New Roman"/>
        </w:rPr>
      </w:pPr>
    </w:p>
    <w:p w:rsidR="00B37FC8" w:rsidRPr="00FE16E1" w:rsidRDefault="003E5AF0" w:rsidP="00A14B51">
      <w:pPr>
        <w:ind w:left="720" w:hanging="720"/>
        <w:rPr>
          <w:rFonts w:eastAsia="Times New Roman"/>
        </w:rPr>
      </w:pPr>
      <w:r>
        <w:rPr>
          <w:rFonts w:eastAsia="Times New Roman"/>
        </w:rPr>
        <w:t>11</w:t>
      </w:r>
      <w:r w:rsidR="00F1142F">
        <w:rPr>
          <w:rFonts w:eastAsia="Times New Roman"/>
          <w:b/>
        </w:rPr>
        <w:tab/>
      </w:r>
      <w:r w:rsidR="00C2534E" w:rsidRPr="00C2534E">
        <w:rPr>
          <w:rFonts w:eastAsia="Times New Roman"/>
        </w:rPr>
        <w:t xml:space="preserve">A </w:t>
      </w:r>
      <w:r w:rsidR="00FE16E1">
        <w:rPr>
          <w:rFonts w:eastAsia="Times New Roman"/>
        </w:rPr>
        <w:t>summary of the consultation response</w:t>
      </w:r>
      <w:r w:rsidR="00C2534E">
        <w:rPr>
          <w:rFonts w:eastAsia="Times New Roman"/>
        </w:rPr>
        <w:t xml:space="preserve">s are listed in </w:t>
      </w:r>
      <w:r w:rsidR="00EB26A9">
        <w:rPr>
          <w:rFonts w:eastAsia="Times New Roman"/>
        </w:rPr>
        <w:t>A</w:t>
      </w:r>
      <w:r w:rsidR="00FE16E1">
        <w:rPr>
          <w:rFonts w:eastAsia="Times New Roman"/>
        </w:rPr>
        <w:t xml:space="preserve">ppendix </w:t>
      </w:r>
      <w:r w:rsidR="00EB26A9">
        <w:rPr>
          <w:rFonts w:eastAsia="Times New Roman"/>
        </w:rPr>
        <w:t>2</w:t>
      </w:r>
      <w:r w:rsidR="00FE16E1">
        <w:rPr>
          <w:rFonts w:eastAsia="Times New Roman"/>
        </w:rPr>
        <w:t xml:space="preserve">  </w:t>
      </w:r>
    </w:p>
    <w:p w:rsidR="00E909B4" w:rsidRPr="00607ED8" w:rsidRDefault="00E909B4" w:rsidP="00607ED8">
      <w:pPr>
        <w:rPr>
          <w:rFonts w:eastAsia="Times New Roman"/>
          <w:i/>
        </w:rPr>
      </w:pPr>
    </w:p>
    <w:p w:rsidR="00FE16E1" w:rsidRDefault="003E5AF0" w:rsidP="000C46D1">
      <w:pPr>
        <w:ind w:left="720" w:hanging="720"/>
      </w:pPr>
      <w:r>
        <w:lastRenderedPageBreak/>
        <w:t>12</w:t>
      </w:r>
      <w:r w:rsidR="00B37FC8">
        <w:rPr>
          <w:b/>
        </w:rPr>
        <w:tab/>
      </w:r>
      <w:r w:rsidR="00FE16E1">
        <w:t>As a result of the Housing Strategy consultation responses</w:t>
      </w:r>
      <w:r w:rsidR="00EB26A9">
        <w:t>,</w:t>
      </w:r>
      <w:r w:rsidR="00FE16E1">
        <w:t xml:space="preserve"> the </w:t>
      </w:r>
      <w:r w:rsidR="00EB26A9">
        <w:t>d</w:t>
      </w:r>
      <w:r w:rsidR="00FE16E1">
        <w:t>raft Housing Strategy that was consulted on has changed as follows:</w:t>
      </w:r>
    </w:p>
    <w:p w:rsidR="00261A35" w:rsidRDefault="00261A35" w:rsidP="000C46D1">
      <w:pPr>
        <w:ind w:left="720" w:hanging="720"/>
      </w:pPr>
    </w:p>
    <w:tbl>
      <w:tblPr>
        <w:tblStyle w:val="TableGrid"/>
        <w:tblW w:w="8744" w:type="dxa"/>
        <w:tblInd w:w="720" w:type="dxa"/>
        <w:tblLook w:val="04A0" w:firstRow="1" w:lastRow="0" w:firstColumn="1" w:lastColumn="0" w:noHBand="0" w:noVBand="1"/>
      </w:tblPr>
      <w:tblGrid>
        <w:gridCol w:w="3783"/>
        <w:gridCol w:w="4961"/>
      </w:tblGrid>
      <w:tr w:rsidR="00FE16E1" w:rsidTr="000C46D1">
        <w:trPr>
          <w:trHeight w:val="454"/>
        </w:trPr>
        <w:tc>
          <w:tcPr>
            <w:tcW w:w="3783" w:type="dxa"/>
            <w:shd w:val="clear" w:color="auto" w:fill="17365D" w:themeFill="text2" w:themeFillShade="BF"/>
            <w:vAlign w:val="center"/>
          </w:tcPr>
          <w:p w:rsidR="00FE16E1" w:rsidRPr="00FE16E1" w:rsidRDefault="00FE16E1" w:rsidP="00FE16E1">
            <w:pPr>
              <w:jc w:val="center"/>
              <w:rPr>
                <w:b/>
                <w:sz w:val="22"/>
                <w:szCs w:val="22"/>
              </w:rPr>
            </w:pPr>
            <w:r w:rsidRPr="00FE16E1">
              <w:rPr>
                <w:b/>
                <w:sz w:val="22"/>
                <w:szCs w:val="22"/>
              </w:rPr>
              <w:t>Comment</w:t>
            </w:r>
          </w:p>
        </w:tc>
        <w:tc>
          <w:tcPr>
            <w:tcW w:w="4961" w:type="dxa"/>
            <w:shd w:val="clear" w:color="auto" w:fill="17365D" w:themeFill="text2" w:themeFillShade="BF"/>
            <w:vAlign w:val="center"/>
          </w:tcPr>
          <w:p w:rsidR="00FE16E1" w:rsidRPr="00FE16E1" w:rsidRDefault="00FE16E1" w:rsidP="00FE16E1">
            <w:pPr>
              <w:jc w:val="center"/>
              <w:rPr>
                <w:b/>
                <w:sz w:val="22"/>
                <w:szCs w:val="22"/>
              </w:rPr>
            </w:pPr>
            <w:r w:rsidRPr="00FE16E1">
              <w:rPr>
                <w:b/>
                <w:sz w:val="22"/>
                <w:szCs w:val="22"/>
              </w:rPr>
              <w:t>Change to Strategy</w:t>
            </w:r>
          </w:p>
        </w:tc>
      </w:tr>
      <w:tr w:rsidR="00507C82" w:rsidTr="000C46D1">
        <w:trPr>
          <w:trHeight w:val="454"/>
        </w:trPr>
        <w:tc>
          <w:tcPr>
            <w:tcW w:w="3783" w:type="dxa"/>
            <w:shd w:val="clear" w:color="auto" w:fill="C6D9F1" w:themeFill="text2" w:themeFillTint="33"/>
          </w:tcPr>
          <w:p w:rsidR="00507C82" w:rsidRDefault="00507C82" w:rsidP="007D026A">
            <w:pPr>
              <w:rPr>
                <w:sz w:val="22"/>
                <w:szCs w:val="22"/>
              </w:rPr>
            </w:pPr>
            <w:r>
              <w:rPr>
                <w:sz w:val="22"/>
                <w:szCs w:val="22"/>
              </w:rPr>
              <w:t>The strategy should seek to be bolder in terms of increasing the volume of new affordable housing supply</w:t>
            </w:r>
          </w:p>
          <w:p w:rsidR="00507C82" w:rsidRDefault="00507C82" w:rsidP="007D026A">
            <w:pPr>
              <w:rPr>
                <w:sz w:val="22"/>
                <w:szCs w:val="22"/>
              </w:rPr>
            </w:pPr>
          </w:p>
        </w:tc>
        <w:tc>
          <w:tcPr>
            <w:tcW w:w="4961" w:type="dxa"/>
            <w:shd w:val="clear" w:color="auto" w:fill="C6D9F1" w:themeFill="text2" w:themeFillTint="33"/>
          </w:tcPr>
          <w:p w:rsidR="00507C82" w:rsidRDefault="00507C82" w:rsidP="00607ED8">
            <w:pPr>
              <w:rPr>
                <w:sz w:val="22"/>
                <w:szCs w:val="22"/>
              </w:rPr>
            </w:pPr>
            <w:r>
              <w:rPr>
                <w:sz w:val="22"/>
                <w:szCs w:val="22"/>
              </w:rPr>
              <w:t>Additional actions have been developed in the Action Plan concerning Oxford’s urban growth and expansion, recognising that the housing needs of the city cannot be met from within the current city boundaries, and alternative arrangements are required going forward</w:t>
            </w:r>
            <w:r w:rsidR="00D516F3">
              <w:rPr>
                <w:sz w:val="22"/>
                <w:szCs w:val="22"/>
              </w:rPr>
              <w:t xml:space="preserve"> (in Priority 1)</w:t>
            </w:r>
          </w:p>
          <w:p w:rsidR="00507C82" w:rsidRDefault="00507C82" w:rsidP="00607ED8">
            <w:pPr>
              <w:rPr>
                <w:sz w:val="22"/>
                <w:szCs w:val="22"/>
              </w:rPr>
            </w:pPr>
          </w:p>
        </w:tc>
      </w:tr>
      <w:tr w:rsidR="00507C82" w:rsidTr="000C46D1">
        <w:trPr>
          <w:trHeight w:val="454"/>
        </w:trPr>
        <w:tc>
          <w:tcPr>
            <w:tcW w:w="3783" w:type="dxa"/>
            <w:shd w:val="clear" w:color="auto" w:fill="C6D9F1" w:themeFill="text2" w:themeFillTint="33"/>
          </w:tcPr>
          <w:p w:rsidR="00507C82" w:rsidRDefault="00507C82" w:rsidP="007D026A">
            <w:pPr>
              <w:rPr>
                <w:sz w:val="22"/>
                <w:szCs w:val="22"/>
              </w:rPr>
            </w:pPr>
            <w:r>
              <w:rPr>
                <w:sz w:val="22"/>
                <w:szCs w:val="22"/>
              </w:rPr>
              <w:t>The strategy should seek to recognise and address the difficulties of key workers obtaining affordable housing locally</w:t>
            </w:r>
          </w:p>
          <w:p w:rsidR="00507C82" w:rsidRDefault="00507C82" w:rsidP="007D026A">
            <w:pPr>
              <w:rPr>
                <w:sz w:val="22"/>
                <w:szCs w:val="22"/>
              </w:rPr>
            </w:pPr>
          </w:p>
        </w:tc>
        <w:tc>
          <w:tcPr>
            <w:tcW w:w="4961" w:type="dxa"/>
            <w:shd w:val="clear" w:color="auto" w:fill="C6D9F1" w:themeFill="text2" w:themeFillTint="33"/>
          </w:tcPr>
          <w:p w:rsidR="00507C82" w:rsidRDefault="00507C82" w:rsidP="00507C82">
            <w:pPr>
              <w:rPr>
                <w:sz w:val="22"/>
                <w:szCs w:val="22"/>
              </w:rPr>
            </w:pPr>
            <w:r>
              <w:rPr>
                <w:sz w:val="22"/>
                <w:szCs w:val="22"/>
              </w:rPr>
              <w:t>The Action Plan suggests that the Council explore the development of a more strategic approach to considering the needs of key workers locally</w:t>
            </w:r>
            <w:r w:rsidR="00D516F3">
              <w:rPr>
                <w:sz w:val="22"/>
                <w:szCs w:val="22"/>
              </w:rPr>
              <w:t xml:space="preserve"> (in Priority 3)</w:t>
            </w:r>
          </w:p>
        </w:tc>
      </w:tr>
      <w:tr w:rsidR="00FE16E1" w:rsidTr="000C46D1">
        <w:trPr>
          <w:trHeight w:val="454"/>
        </w:trPr>
        <w:tc>
          <w:tcPr>
            <w:tcW w:w="3783" w:type="dxa"/>
            <w:shd w:val="clear" w:color="auto" w:fill="C6D9F1" w:themeFill="text2" w:themeFillTint="33"/>
          </w:tcPr>
          <w:p w:rsidR="007D026A" w:rsidRPr="007D026A" w:rsidRDefault="007D026A" w:rsidP="007D026A">
            <w:pPr>
              <w:rPr>
                <w:sz w:val="22"/>
                <w:szCs w:val="22"/>
              </w:rPr>
            </w:pPr>
            <w:r>
              <w:rPr>
                <w:sz w:val="22"/>
                <w:szCs w:val="22"/>
              </w:rPr>
              <w:t>An additional objective is required to</w:t>
            </w:r>
            <w:r w:rsidR="00507C82">
              <w:rPr>
                <w:sz w:val="22"/>
                <w:szCs w:val="22"/>
              </w:rPr>
              <w:t xml:space="preserve"> e</w:t>
            </w:r>
            <w:r w:rsidRPr="007D026A">
              <w:rPr>
                <w:sz w:val="22"/>
                <w:szCs w:val="22"/>
              </w:rPr>
              <w:t>nsure that the provision of accessible housing meets housing needs and housing options for disabled people are improved</w:t>
            </w:r>
          </w:p>
          <w:p w:rsidR="00FE16E1" w:rsidRPr="00FE16E1" w:rsidRDefault="00FE16E1" w:rsidP="00607ED8">
            <w:pPr>
              <w:rPr>
                <w:sz w:val="22"/>
                <w:szCs w:val="22"/>
              </w:rPr>
            </w:pPr>
          </w:p>
        </w:tc>
        <w:tc>
          <w:tcPr>
            <w:tcW w:w="4961" w:type="dxa"/>
            <w:shd w:val="clear" w:color="auto" w:fill="C6D9F1" w:themeFill="text2" w:themeFillTint="33"/>
          </w:tcPr>
          <w:p w:rsidR="00FE16E1" w:rsidRDefault="007D026A" w:rsidP="00607ED8">
            <w:pPr>
              <w:rPr>
                <w:sz w:val="22"/>
                <w:szCs w:val="22"/>
              </w:rPr>
            </w:pPr>
            <w:r>
              <w:rPr>
                <w:sz w:val="22"/>
                <w:szCs w:val="22"/>
              </w:rPr>
              <w:t xml:space="preserve">This objective has been added </w:t>
            </w:r>
            <w:r w:rsidR="003E5AF0">
              <w:rPr>
                <w:sz w:val="22"/>
                <w:szCs w:val="22"/>
              </w:rPr>
              <w:t>(in Priority 2) with add</w:t>
            </w:r>
            <w:r>
              <w:rPr>
                <w:sz w:val="22"/>
                <w:szCs w:val="22"/>
              </w:rPr>
              <w:t>itional actions a</w:t>
            </w:r>
            <w:r w:rsidR="003E5AF0">
              <w:rPr>
                <w:sz w:val="22"/>
                <w:szCs w:val="22"/>
              </w:rPr>
              <w:t>s</w:t>
            </w:r>
            <w:r w:rsidR="00507C82">
              <w:rPr>
                <w:sz w:val="22"/>
                <w:szCs w:val="22"/>
              </w:rPr>
              <w:t>:</w:t>
            </w:r>
          </w:p>
          <w:p w:rsidR="003E5AF0" w:rsidRDefault="003E5AF0" w:rsidP="00607ED8">
            <w:pPr>
              <w:rPr>
                <w:sz w:val="22"/>
                <w:szCs w:val="22"/>
              </w:rPr>
            </w:pPr>
          </w:p>
          <w:p w:rsidR="007D026A" w:rsidRDefault="007D026A" w:rsidP="007D026A">
            <w:pPr>
              <w:pStyle w:val="ListParagraph"/>
              <w:numPr>
                <w:ilvl w:val="0"/>
                <w:numId w:val="11"/>
              </w:numPr>
              <w:jc w:val="both"/>
              <w:rPr>
                <w:sz w:val="22"/>
                <w:szCs w:val="22"/>
              </w:rPr>
            </w:pPr>
            <w:r w:rsidRPr="007D026A">
              <w:rPr>
                <w:sz w:val="22"/>
                <w:szCs w:val="22"/>
              </w:rPr>
              <w:t>Support the accessible housing planning policy by incorporating improvements arising from national build standards in guidance to developers – June 2016</w:t>
            </w:r>
          </w:p>
          <w:p w:rsidR="00EB26A9" w:rsidRDefault="007D026A" w:rsidP="00EB26A9">
            <w:pPr>
              <w:pStyle w:val="ListParagraph"/>
              <w:numPr>
                <w:ilvl w:val="0"/>
                <w:numId w:val="11"/>
              </w:numPr>
              <w:jc w:val="both"/>
              <w:rPr>
                <w:sz w:val="22"/>
                <w:szCs w:val="22"/>
              </w:rPr>
            </w:pPr>
            <w:r w:rsidRPr="007D026A">
              <w:rPr>
                <w:sz w:val="22"/>
                <w:szCs w:val="22"/>
              </w:rPr>
              <w:t>Improve Council and other housing providers information bases so that gaps in accessible housing provision can be identified and support choice for disabled housing applic</w:t>
            </w:r>
            <w:r>
              <w:rPr>
                <w:sz w:val="22"/>
                <w:szCs w:val="22"/>
              </w:rPr>
              <w:t xml:space="preserve">ants through more comprehensive </w:t>
            </w:r>
            <w:r w:rsidRPr="007D026A">
              <w:rPr>
                <w:sz w:val="22"/>
                <w:szCs w:val="22"/>
              </w:rPr>
              <w:t xml:space="preserve">Allocations information </w:t>
            </w:r>
            <w:r w:rsidR="00507C82" w:rsidRPr="007D026A">
              <w:rPr>
                <w:sz w:val="22"/>
                <w:szCs w:val="22"/>
              </w:rPr>
              <w:t>–</w:t>
            </w:r>
            <w:r w:rsidRPr="007D026A">
              <w:rPr>
                <w:sz w:val="22"/>
                <w:szCs w:val="22"/>
              </w:rPr>
              <w:t xml:space="preserve"> Sept 2015</w:t>
            </w:r>
          </w:p>
          <w:p w:rsidR="007D026A" w:rsidRDefault="007D026A" w:rsidP="00507C82">
            <w:pPr>
              <w:pStyle w:val="ListParagraph"/>
              <w:numPr>
                <w:ilvl w:val="0"/>
                <w:numId w:val="11"/>
              </w:numPr>
              <w:jc w:val="both"/>
              <w:rPr>
                <w:sz w:val="22"/>
                <w:szCs w:val="22"/>
              </w:rPr>
            </w:pPr>
            <w:r w:rsidRPr="00EB26A9">
              <w:rPr>
                <w:sz w:val="22"/>
                <w:szCs w:val="22"/>
              </w:rPr>
              <w:t>Explore the options for increasing disabled peoples access to adapted sale properties with private sector providers</w:t>
            </w:r>
            <w:r w:rsidR="00507C82">
              <w:rPr>
                <w:sz w:val="22"/>
                <w:szCs w:val="22"/>
              </w:rPr>
              <w:t xml:space="preserve"> </w:t>
            </w:r>
            <w:r w:rsidR="00507C82" w:rsidRPr="007D026A">
              <w:rPr>
                <w:sz w:val="22"/>
                <w:szCs w:val="22"/>
              </w:rPr>
              <w:t>–</w:t>
            </w:r>
            <w:r w:rsidR="00507C82">
              <w:rPr>
                <w:sz w:val="22"/>
                <w:szCs w:val="22"/>
              </w:rPr>
              <w:t xml:space="preserve"> </w:t>
            </w:r>
            <w:r w:rsidRPr="00EB26A9">
              <w:rPr>
                <w:sz w:val="22"/>
                <w:szCs w:val="22"/>
              </w:rPr>
              <w:t>June 2016</w:t>
            </w:r>
          </w:p>
          <w:p w:rsidR="00507C82" w:rsidRPr="00EB26A9" w:rsidRDefault="00507C82" w:rsidP="00507C82">
            <w:pPr>
              <w:pStyle w:val="ListParagraph"/>
              <w:jc w:val="both"/>
              <w:rPr>
                <w:sz w:val="22"/>
                <w:szCs w:val="22"/>
              </w:rPr>
            </w:pPr>
          </w:p>
        </w:tc>
      </w:tr>
      <w:tr w:rsidR="00FE16E1" w:rsidTr="000C46D1">
        <w:trPr>
          <w:trHeight w:val="454"/>
        </w:trPr>
        <w:tc>
          <w:tcPr>
            <w:tcW w:w="3783" w:type="dxa"/>
            <w:shd w:val="clear" w:color="auto" w:fill="C6D9F1" w:themeFill="text2" w:themeFillTint="33"/>
          </w:tcPr>
          <w:p w:rsidR="00FE16E1" w:rsidRDefault="007D026A" w:rsidP="00607ED8">
            <w:pPr>
              <w:rPr>
                <w:sz w:val="22"/>
                <w:szCs w:val="22"/>
              </w:rPr>
            </w:pPr>
            <w:r>
              <w:rPr>
                <w:sz w:val="22"/>
                <w:szCs w:val="22"/>
              </w:rPr>
              <w:t xml:space="preserve">Extra Care units at </w:t>
            </w:r>
            <w:proofErr w:type="spellStart"/>
            <w:r>
              <w:rPr>
                <w:sz w:val="22"/>
                <w:szCs w:val="22"/>
              </w:rPr>
              <w:t>Shotover</w:t>
            </w:r>
            <w:proofErr w:type="spellEnd"/>
            <w:r>
              <w:rPr>
                <w:sz w:val="22"/>
                <w:szCs w:val="22"/>
              </w:rPr>
              <w:t xml:space="preserve"> </w:t>
            </w:r>
            <w:r w:rsidR="00507C82">
              <w:rPr>
                <w:sz w:val="22"/>
                <w:szCs w:val="22"/>
              </w:rPr>
              <w:t xml:space="preserve">were </w:t>
            </w:r>
            <w:r>
              <w:rPr>
                <w:sz w:val="22"/>
                <w:szCs w:val="22"/>
              </w:rPr>
              <w:t>not listed under ‘objectives achieved’ at 2.2.4</w:t>
            </w:r>
          </w:p>
          <w:p w:rsidR="00507C82" w:rsidRPr="00FE16E1" w:rsidRDefault="00507C82" w:rsidP="00607ED8">
            <w:pPr>
              <w:rPr>
                <w:sz w:val="22"/>
                <w:szCs w:val="22"/>
              </w:rPr>
            </w:pPr>
          </w:p>
        </w:tc>
        <w:tc>
          <w:tcPr>
            <w:tcW w:w="4961" w:type="dxa"/>
            <w:shd w:val="clear" w:color="auto" w:fill="C6D9F1" w:themeFill="text2" w:themeFillTint="33"/>
          </w:tcPr>
          <w:p w:rsidR="00FE16E1" w:rsidRPr="00FE16E1" w:rsidRDefault="007D026A" w:rsidP="003E5AF0">
            <w:pPr>
              <w:rPr>
                <w:sz w:val="22"/>
                <w:szCs w:val="22"/>
              </w:rPr>
            </w:pPr>
            <w:r>
              <w:rPr>
                <w:sz w:val="22"/>
                <w:szCs w:val="22"/>
              </w:rPr>
              <w:t>Bullet point added</w:t>
            </w:r>
            <w:r w:rsidR="003E5AF0">
              <w:rPr>
                <w:sz w:val="22"/>
                <w:szCs w:val="22"/>
              </w:rPr>
              <w:t xml:space="preserve"> to confirm that </w:t>
            </w:r>
            <w:r>
              <w:rPr>
                <w:sz w:val="22"/>
                <w:szCs w:val="22"/>
              </w:rPr>
              <w:t xml:space="preserve">55 affordable extra care apartments </w:t>
            </w:r>
            <w:r w:rsidR="003E5AF0">
              <w:rPr>
                <w:sz w:val="22"/>
                <w:szCs w:val="22"/>
              </w:rPr>
              <w:t xml:space="preserve">have been </w:t>
            </w:r>
            <w:r>
              <w:rPr>
                <w:sz w:val="22"/>
                <w:szCs w:val="22"/>
              </w:rPr>
              <w:t xml:space="preserve">completed at </w:t>
            </w:r>
            <w:proofErr w:type="spellStart"/>
            <w:r>
              <w:rPr>
                <w:sz w:val="22"/>
                <w:szCs w:val="22"/>
              </w:rPr>
              <w:t>Shotover</w:t>
            </w:r>
            <w:proofErr w:type="spellEnd"/>
            <w:r>
              <w:rPr>
                <w:sz w:val="22"/>
                <w:szCs w:val="22"/>
              </w:rPr>
              <w:t xml:space="preserve"> View</w:t>
            </w:r>
          </w:p>
        </w:tc>
      </w:tr>
      <w:tr w:rsidR="00FE16E1" w:rsidTr="000C46D1">
        <w:trPr>
          <w:trHeight w:val="454"/>
        </w:trPr>
        <w:tc>
          <w:tcPr>
            <w:tcW w:w="3783" w:type="dxa"/>
            <w:shd w:val="clear" w:color="auto" w:fill="C6D9F1" w:themeFill="text2" w:themeFillTint="33"/>
          </w:tcPr>
          <w:p w:rsidR="00FE16E1" w:rsidRPr="00FE16E1" w:rsidRDefault="007D026A" w:rsidP="00607ED8">
            <w:pPr>
              <w:rPr>
                <w:sz w:val="22"/>
                <w:szCs w:val="22"/>
              </w:rPr>
            </w:pPr>
            <w:r>
              <w:rPr>
                <w:sz w:val="22"/>
                <w:szCs w:val="22"/>
              </w:rPr>
              <w:t xml:space="preserve">Comment from </w:t>
            </w:r>
            <w:r w:rsidR="00507C82">
              <w:rPr>
                <w:sz w:val="22"/>
                <w:szCs w:val="22"/>
              </w:rPr>
              <w:t xml:space="preserve">Oxfordshire </w:t>
            </w:r>
            <w:r>
              <w:rPr>
                <w:sz w:val="22"/>
                <w:szCs w:val="22"/>
              </w:rPr>
              <w:t>County Council regarding consultation on cuts 5.2.1</w:t>
            </w:r>
          </w:p>
        </w:tc>
        <w:tc>
          <w:tcPr>
            <w:tcW w:w="4961" w:type="dxa"/>
            <w:shd w:val="clear" w:color="auto" w:fill="C6D9F1" w:themeFill="text2" w:themeFillTint="33"/>
          </w:tcPr>
          <w:p w:rsidR="00FE16E1" w:rsidRDefault="007D026A" w:rsidP="00507C82">
            <w:pPr>
              <w:rPr>
                <w:sz w:val="22"/>
                <w:szCs w:val="22"/>
              </w:rPr>
            </w:pPr>
            <w:r>
              <w:rPr>
                <w:sz w:val="22"/>
                <w:szCs w:val="22"/>
              </w:rPr>
              <w:t xml:space="preserve">Changed ‘consulting’ to </w:t>
            </w:r>
            <w:r w:rsidR="00C37DA7">
              <w:rPr>
                <w:sz w:val="22"/>
                <w:szCs w:val="22"/>
              </w:rPr>
              <w:t>‘</w:t>
            </w:r>
            <w:r w:rsidR="00C37DA7" w:rsidRPr="00C37DA7">
              <w:rPr>
                <w:sz w:val="22"/>
                <w:szCs w:val="22"/>
              </w:rPr>
              <w:t>The County Council has consulted on cuts of £1.5m to funding for housing related support services for homeless people and substance misusers in Oxfordshire to take effect from February 2016. New services are being commissioned in partnership with the City and District councils, and the Oxfordshir</w:t>
            </w:r>
            <w:r w:rsidR="00507C82">
              <w:rPr>
                <w:sz w:val="22"/>
                <w:szCs w:val="22"/>
              </w:rPr>
              <w:t>e Clinical Commissioning Group</w:t>
            </w:r>
            <w:r w:rsidR="00C37DA7">
              <w:rPr>
                <w:sz w:val="22"/>
                <w:szCs w:val="22"/>
              </w:rPr>
              <w:t>’</w:t>
            </w:r>
          </w:p>
          <w:p w:rsidR="00507C82" w:rsidRPr="00FE16E1" w:rsidRDefault="00507C82" w:rsidP="00507C82">
            <w:pPr>
              <w:rPr>
                <w:sz w:val="22"/>
                <w:szCs w:val="22"/>
              </w:rPr>
            </w:pPr>
          </w:p>
        </w:tc>
      </w:tr>
      <w:tr w:rsidR="00FE16E1" w:rsidTr="000C46D1">
        <w:trPr>
          <w:trHeight w:val="454"/>
        </w:trPr>
        <w:tc>
          <w:tcPr>
            <w:tcW w:w="3783" w:type="dxa"/>
            <w:shd w:val="clear" w:color="auto" w:fill="C6D9F1" w:themeFill="text2" w:themeFillTint="33"/>
          </w:tcPr>
          <w:p w:rsidR="00FE16E1" w:rsidRPr="00FE16E1" w:rsidRDefault="00E97A8E" w:rsidP="00607ED8">
            <w:pPr>
              <w:rPr>
                <w:sz w:val="22"/>
                <w:szCs w:val="22"/>
              </w:rPr>
            </w:pPr>
            <w:r>
              <w:rPr>
                <w:sz w:val="22"/>
                <w:szCs w:val="22"/>
              </w:rPr>
              <w:t xml:space="preserve">Further detail was needed on planning policy for accessible housing </w:t>
            </w:r>
          </w:p>
        </w:tc>
        <w:tc>
          <w:tcPr>
            <w:tcW w:w="4961" w:type="dxa"/>
            <w:shd w:val="clear" w:color="auto" w:fill="C6D9F1" w:themeFill="text2" w:themeFillTint="33"/>
          </w:tcPr>
          <w:p w:rsidR="00C37DA7" w:rsidRPr="00C37DA7" w:rsidRDefault="00E97A8E" w:rsidP="00C37DA7">
            <w:pPr>
              <w:rPr>
                <w:sz w:val="22"/>
                <w:szCs w:val="22"/>
              </w:rPr>
            </w:pPr>
            <w:r>
              <w:rPr>
                <w:sz w:val="22"/>
                <w:szCs w:val="22"/>
              </w:rPr>
              <w:t>Added 5 additional paragraphs at 5.6 ‘</w:t>
            </w:r>
            <w:r w:rsidR="00C37DA7" w:rsidRPr="00C37DA7">
              <w:rPr>
                <w:sz w:val="22"/>
                <w:szCs w:val="22"/>
              </w:rPr>
              <w:t xml:space="preserve">The Council planning policy on accessible housing is being implemented. This requires all new housing to be built to Lifetime homes standard </w:t>
            </w:r>
            <w:r w:rsidR="00C37DA7" w:rsidRPr="00C37DA7">
              <w:rPr>
                <w:sz w:val="22"/>
                <w:szCs w:val="22"/>
              </w:rPr>
              <w:lastRenderedPageBreak/>
              <w:t xml:space="preserve">and for 5% of new dwellings on larger sites to be built to wheelchair standard: technical guidance is provided on achieving either the full standard or adapting new units so that it can be met when required. </w:t>
            </w:r>
          </w:p>
          <w:p w:rsidR="00C37DA7" w:rsidRPr="00C37DA7" w:rsidRDefault="00C37DA7" w:rsidP="00C37DA7">
            <w:pPr>
              <w:rPr>
                <w:sz w:val="22"/>
                <w:szCs w:val="22"/>
              </w:rPr>
            </w:pPr>
          </w:p>
          <w:p w:rsidR="00C37DA7" w:rsidRPr="00C37DA7" w:rsidRDefault="00C37DA7" w:rsidP="00C37DA7">
            <w:pPr>
              <w:rPr>
                <w:sz w:val="22"/>
                <w:szCs w:val="22"/>
              </w:rPr>
            </w:pPr>
            <w:r w:rsidRPr="00C37DA7">
              <w:rPr>
                <w:sz w:val="22"/>
                <w:szCs w:val="22"/>
              </w:rPr>
              <w:t xml:space="preserve">Half of the wheelchair units provided under this policy will be for market sale and with increasing housing supply in the City, this sector could make an important contribution to the Council and stakeholders work to improve choice for disabled people. </w:t>
            </w:r>
          </w:p>
          <w:p w:rsidR="00C37DA7" w:rsidRPr="00C37DA7" w:rsidRDefault="00C37DA7" w:rsidP="00C37DA7">
            <w:pPr>
              <w:rPr>
                <w:sz w:val="22"/>
                <w:szCs w:val="22"/>
              </w:rPr>
            </w:pPr>
            <w:r w:rsidRPr="00C37DA7">
              <w:rPr>
                <w:sz w:val="22"/>
                <w:szCs w:val="22"/>
              </w:rPr>
              <w:t> </w:t>
            </w:r>
          </w:p>
          <w:p w:rsidR="00C37DA7" w:rsidRPr="00C37DA7" w:rsidRDefault="00C37DA7" w:rsidP="00C37DA7">
            <w:pPr>
              <w:rPr>
                <w:sz w:val="22"/>
                <w:szCs w:val="22"/>
              </w:rPr>
            </w:pPr>
            <w:r w:rsidRPr="00C37DA7">
              <w:rPr>
                <w:sz w:val="22"/>
                <w:szCs w:val="22"/>
              </w:rPr>
              <w:t xml:space="preserve">The Council has been working with the County and District Council’s to implement the Oxfordshire Physical Disability Housing Strategy which, as well as new accessible housing, highlights the need to make better use of existing adapted stock and to improve the quality of information which is available to disabled people when they are looking at their housing options. </w:t>
            </w:r>
          </w:p>
          <w:p w:rsidR="00C37DA7" w:rsidRPr="00C37DA7" w:rsidRDefault="00C37DA7" w:rsidP="00C37DA7">
            <w:pPr>
              <w:rPr>
                <w:sz w:val="22"/>
                <w:szCs w:val="22"/>
              </w:rPr>
            </w:pPr>
          </w:p>
          <w:p w:rsidR="00C37DA7" w:rsidRPr="00C37DA7" w:rsidRDefault="00C37DA7" w:rsidP="00C37DA7">
            <w:pPr>
              <w:rPr>
                <w:sz w:val="22"/>
                <w:szCs w:val="22"/>
              </w:rPr>
            </w:pPr>
            <w:r w:rsidRPr="00C37DA7">
              <w:rPr>
                <w:sz w:val="22"/>
                <w:szCs w:val="22"/>
              </w:rPr>
              <w:t xml:space="preserve">The Council has recently completed a stock condition survey which gives a sound basis for updating adaptations made to existing dwellings and identifying where there are gaps in provision. The Council will also be engaging with the other social housing providers in the City on this issue. </w:t>
            </w:r>
          </w:p>
          <w:p w:rsidR="00C37DA7" w:rsidRPr="00C37DA7" w:rsidRDefault="00C37DA7" w:rsidP="00C37DA7">
            <w:pPr>
              <w:rPr>
                <w:sz w:val="22"/>
                <w:szCs w:val="22"/>
              </w:rPr>
            </w:pPr>
          </w:p>
          <w:p w:rsidR="00C37DA7" w:rsidRPr="00C37DA7" w:rsidRDefault="00C37DA7" w:rsidP="00C37DA7">
            <w:pPr>
              <w:rPr>
                <w:sz w:val="22"/>
                <w:szCs w:val="22"/>
              </w:rPr>
            </w:pPr>
            <w:r w:rsidRPr="00C37DA7">
              <w:rPr>
                <w:sz w:val="22"/>
                <w:szCs w:val="22"/>
              </w:rPr>
              <w:t>A booklet setting out a wide range of information on housing options for disabled people across the County was produced last year and the emphasis is now on ensuring that comprehensive information about the housing stock is available when options are being considered.</w:t>
            </w:r>
            <w:r>
              <w:rPr>
                <w:sz w:val="22"/>
                <w:szCs w:val="22"/>
              </w:rPr>
              <w:t>’</w:t>
            </w:r>
            <w:r w:rsidRPr="00C37DA7">
              <w:rPr>
                <w:sz w:val="22"/>
                <w:szCs w:val="22"/>
              </w:rPr>
              <w:t xml:space="preserve"> </w:t>
            </w:r>
          </w:p>
          <w:p w:rsidR="00FE16E1" w:rsidRPr="00FE16E1" w:rsidRDefault="00FE16E1" w:rsidP="00607ED8">
            <w:pPr>
              <w:rPr>
                <w:sz w:val="22"/>
                <w:szCs w:val="22"/>
              </w:rPr>
            </w:pPr>
          </w:p>
        </w:tc>
      </w:tr>
      <w:tr w:rsidR="0062732D" w:rsidTr="000C46D1">
        <w:trPr>
          <w:trHeight w:val="454"/>
        </w:trPr>
        <w:tc>
          <w:tcPr>
            <w:tcW w:w="3783" w:type="dxa"/>
            <w:shd w:val="clear" w:color="auto" w:fill="C6D9F1" w:themeFill="text2" w:themeFillTint="33"/>
          </w:tcPr>
          <w:p w:rsidR="0062732D" w:rsidRDefault="0062732D" w:rsidP="00607ED8">
            <w:pPr>
              <w:rPr>
                <w:sz w:val="22"/>
                <w:szCs w:val="22"/>
              </w:rPr>
            </w:pPr>
            <w:r>
              <w:rPr>
                <w:sz w:val="22"/>
                <w:szCs w:val="22"/>
              </w:rPr>
              <w:lastRenderedPageBreak/>
              <w:t>Improve stock condition, best use of Council housing stock and improve affordability</w:t>
            </w:r>
          </w:p>
        </w:tc>
        <w:tc>
          <w:tcPr>
            <w:tcW w:w="4961" w:type="dxa"/>
            <w:shd w:val="clear" w:color="auto" w:fill="C6D9F1" w:themeFill="text2" w:themeFillTint="33"/>
          </w:tcPr>
          <w:p w:rsidR="0062732D" w:rsidRDefault="0062732D" w:rsidP="0062732D">
            <w:pPr>
              <w:rPr>
                <w:sz w:val="22"/>
                <w:szCs w:val="22"/>
              </w:rPr>
            </w:pPr>
            <w:r>
              <w:rPr>
                <w:sz w:val="22"/>
                <w:szCs w:val="22"/>
              </w:rPr>
              <w:t>Actions added with respect to d</w:t>
            </w:r>
            <w:r w:rsidRPr="00FF62A1">
              <w:rPr>
                <w:sz w:val="22"/>
                <w:szCs w:val="22"/>
              </w:rPr>
              <w:t>eliver</w:t>
            </w:r>
            <w:r>
              <w:rPr>
                <w:sz w:val="22"/>
                <w:szCs w:val="22"/>
              </w:rPr>
              <w:t xml:space="preserve">ing the </w:t>
            </w:r>
            <w:r w:rsidRPr="00FF62A1">
              <w:rPr>
                <w:sz w:val="22"/>
                <w:szCs w:val="22"/>
              </w:rPr>
              <w:t>2015</w:t>
            </w:r>
            <w:r>
              <w:rPr>
                <w:sz w:val="22"/>
                <w:szCs w:val="22"/>
              </w:rPr>
              <w:t xml:space="preserve"> to </w:t>
            </w:r>
            <w:r w:rsidRPr="00FF62A1">
              <w:rPr>
                <w:sz w:val="22"/>
                <w:szCs w:val="22"/>
              </w:rPr>
              <w:t xml:space="preserve">18 Housing Investment </w:t>
            </w:r>
            <w:r>
              <w:rPr>
                <w:sz w:val="22"/>
                <w:szCs w:val="22"/>
              </w:rPr>
              <w:t>P</w:t>
            </w:r>
            <w:r w:rsidRPr="00FF62A1">
              <w:rPr>
                <w:sz w:val="22"/>
                <w:szCs w:val="22"/>
              </w:rPr>
              <w:t>rogramme as part of the Housing Asset Management Strategy</w:t>
            </w:r>
            <w:r>
              <w:rPr>
                <w:sz w:val="22"/>
                <w:szCs w:val="22"/>
              </w:rPr>
              <w:t xml:space="preserve"> and to increase tenant resilience to fuel poverty</w:t>
            </w:r>
            <w:r w:rsidR="003E5AF0">
              <w:rPr>
                <w:sz w:val="22"/>
                <w:szCs w:val="22"/>
              </w:rPr>
              <w:t xml:space="preserve"> (in Priority 4)</w:t>
            </w:r>
          </w:p>
          <w:p w:rsidR="0062732D" w:rsidRDefault="0062732D" w:rsidP="0062732D">
            <w:pPr>
              <w:rPr>
                <w:sz w:val="22"/>
                <w:szCs w:val="22"/>
              </w:rPr>
            </w:pPr>
          </w:p>
        </w:tc>
      </w:tr>
    </w:tbl>
    <w:p w:rsidR="00E97A8E" w:rsidRDefault="00E97A8E" w:rsidP="00E909B4">
      <w:pPr>
        <w:ind w:left="720" w:hanging="720"/>
        <w:rPr>
          <w:b/>
        </w:rPr>
      </w:pPr>
    </w:p>
    <w:p w:rsidR="008368A3" w:rsidRDefault="008368A3" w:rsidP="00E909B4">
      <w:pPr>
        <w:ind w:left="720" w:hanging="720"/>
        <w:rPr>
          <w:b/>
        </w:rPr>
      </w:pPr>
    </w:p>
    <w:p w:rsidR="0077060F" w:rsidRDefault="0077060F" w:rsidP="00E909B4">
      <w:pPr>
        <w:ind w:left="720" w:hanging="720"/>
        <w:rPr>
          <w:b/>
        </w:rPr>
      </w:pPr>
      <w:r>
        <w:rPr>
          <w:b/>
        </w:rPr>
        <w:t>Level of Risk</w:t>
      </w:r>
    </w:p>
    <w:p w:rsidR="0077060F" w:rsidRDefault="0077060F" w:rsidP="00E909B4">
      <w:pPr>
        <w:ind w:left="720" w:hanging="720"/>
        <w:rPr>
          <w:b/>
        </w:rPr>
      </w:pPr>
    </w:p>
    <w:p w:rsidR="0077060F" w:rsidRDefault="00B60036" w:rsidP="0077060F">
      <w:pPr>
        <w:ind w:left="720" w:hanging="720"/>
        <w:rPr>
          <w:rFonts w:eastAsia="Times New Roman"/>
          <w:i/>
        </w:rPr>
      </w:pPr>
      <w:r>
        <w:t>13</w:t>
      </w:r>
      <w:r w:rsidR="0077060F">
        <w:rPr>
          <w:b/>
        </w:rPr>
        <w:tab/>
      </w:r>
      <w:r w:rsidR="0077060F" w:rsidRPr="0080301E">
        <w:rPr>
          <w:rFonts w:eastAsia="Times New Roman"/>
        </w:rPr>
        <w:t xml:space="preserve">A </w:t>
      </w:r>
      <w:r w:rsidR="00C2534E">
        <w:rPr>
          <w:rFonts w:eastAsia="Times New Roman"/>
        </w:rPr>
        <w:t>R</w:t>
      </w:r>
      <w:r w:rsidR="0077060F" w:rsidRPr="0080301E">
        <w:rPr>
          <w:rFonts w:eastAsia="Times New Roman"/>
        </w:rPr>
        <w:t xml:space="preserve">isk </w:t>
      </w:r>
      <w:r w:rsidR="00C2534E">
        <w:rPr>
          <w:rFonts w:eastAsia="Times New Roman"/>
        </w:rPr>
        <w:t>R</w:t>
      </w:r>
      <w:r w:rsidR="0077060F" w:rsidRPr="0080301E">
        <w:rPr>
          <w:rFonts w:eastAsia="Times New Roman"/>
        </w:rPr>
        <w:t>egister is attached a</w:t>
      </w:r>
      <w:r w:rsidR="00C2534E">
        <w:rPr>
          <w:rFonts w:eastAsia="Times New Roman"/>
        </w:rPr>
        <w:t>t</w:t>
      </w:r>
      <w:r w:rsidR="0077060F" w:rsidRPr="0080301E">
        <w:rPr>
          <w:rFonts w:eastAsia="Times New Roman"/>
        </w:rPr>
        <w:t xml:space="preserve"> Appendix </w:t>
      </w:r>
      <w:r w:rsidR="00D078AB">
        <w:rPr>
          <w:rFonts w:eastAsia="Times New Roman"/>
        </w:rPr>
        <w:t>3</w:t>
      </w:r>
      <w:r w:rsidR="0077060F" w:rsidRPr="0080301E">
        <w:rPr>
          <w:rFonts w:eastAsia="Times New Roman"/>
        </w:rPr>
        <w:t xml:space="preserve">.  It should be noted that risks associated with specific projects and work programmes identified in the action plan are identified and addressed in the relevant project documentation for those projects </w:t>
      </w:r>
      <w:r w:rsidR="00C2534E">
        <w:rPr>
          <w:rFonts w:eastAsia="Times New Roman"/>
        </w:rPr>
        <w:t xml:space="preserve">or </w:t>
      </w:r>
      <w:r w:rsidR="0077060F" w:rsidRPr="0080301E">
        <w:rPr>
          <w:rFonts w:eastAsia="Times New Roman"/>
        </w:rPr>
        <w:t>programmes.</w:t>
      </w:r>
    </w:p>
    <w:p w:rsidR="0077060F" w:rsidRDefault="0077060F" w:rsidP="0077060F">
      <w:pPr>
        <w:ind w:left="720" w:hanging="720"/>
        <w:rPr>
          <w:rFonts w:eastAsia="Times New Roman"/>
          <w:i/>
        </w:rPr>
      </w:pPr>
    </w:p>
    <w:p w:rsidR="0077060F" w:rsidRDefault="0077060F" w:rsidP="00CB7A5E">
      <w:pPr>
        <w:rPr>
          <w:rFonts w:eastAsia="Times New Roman"/>
          <w:b/>
        </w:rPr>
      </w:pPr>
      <w:r>
        <w:rPr>
          <w:rFonts w:eastAsia="Times New Roman"/>
          <w:b/>
        </w:rPr>
        <w:lastRenderedPageBreak/>
        <w:t>Environmental Impact</w:t>
      </w:r>
    </w:p>
    <w:p w:rsidR="0077060F" w:rsidRDefault="0077060F" w:rsidP="0077060F">
      <w:pPr>
        <w:ind w:left="720" w:hanging="720"/>
        <w:rPr>
          <w:rFonts w:eastAsia="Times New Roman"/>
          <w:b/>
        </w:rPr>
      </w:pPr>
    </w:p>
    <w:p w:rsidR="0077060F" w:rsidRDefault="00B60036" w:rsidP="0077060F">
      <w:pPr>
        <w:ind w:left="720" w:hanging="720"/>
        <w:rPr>
          <w:rFonts w:eastAsia="Times New Roman"/>
          <w:i/>
        </w:rPr>
      </w:pPr>
      <w:r>
        <w:rPr>
          <w:rFonts w:eastAsia="Times New Roman"/>
        </w:rPr>
        <w:t>14</w:t>
      </w:r>
      <w:r w:rsidR="0077060F">
        <w:rPr>
          <w:rFonts w:eastAsia="Times New Roman"/>
          <w:b/>
        </w:rPr>
        <w:tab/>
      </w:r>
      <w:r w:rsidR="00F8590A">
        <w:rPr>
          <w:rFonts w:eastAsia="Times New Roman"/>
        </w:rPr>
        <w:t>The Housing Strategy 2015 to 2018</w:t>
      </w:r>
      <w:r w:rsidR="0077060F" w:rsidRPr="0080301E">
        <w:rPr>
          <w:rFonts w:eastAsia="Times New Roman"/>
        </w:rPr>
        <w:t xml:space="preserve"> does not have any explicit environmental impacts in itself.  Specific projects identified in the Housing Strategy Action Plan will have environmental impacts, specifically the provision of additional housing to meet housing needs.  These environmental impacts associated with specific projects and work programmes identified in the action plan are identified and addressed in the relevant project documentation for those projects </w:t>
      </w:r>
      <w:r w:rsidR="00C2534E">
        <w:rPr>
          <w:rFonts w:eastAsia="Times New Roman"/>
        </w:rPr>
        <w:t>or</w:t>
      </w:r>
      <w:r w:rsidR="0077060F" w:rsidRPr="0080301E">
        <w:rPr>
          <w:rFonts w:eastAsia="Times New Roman"/>
        </w:rPr>
        <w:t xml:space="preserve"> programmes</w:t>
      </w:r>
      <w:r w:rsidR="00F8590A">
        <w:rPr>
          <w:rFonts w:eastAsia="Times New Roman"/>
        </w:rPr>
        <w:t xml:space="preserve"> especially where planning permission is required</w:t>
      </w:r>
      <w:r w:rsidR="0077060F" w:rsidRPr="0080301E">
        <w:rPr>
          <w:rFonts w:eastAsia="Times New Roman"/>
        </w:rPr>
        <w:t>.</w:t>
      </w:r>
    </w:p>
    <w:p w:rsidR="00E97A8E" w:rsidRDefault="00E97A8E" w:rsidP="00507C82">
      <w:pPr>
        <w:rPr>
          <w:rFonts w:eastAsia="Times New Roman"/>
          <w:i/>
        </w:rPr>
      </w:pPr>
    </w:p>
    <w:p w:rsidR="008368A3" w:rsidRDefault="008368A3" w:rsidP="00507C82">
      <w:pPr>
        <w:rPr>
          <w:rFonts w:eastAsia="Times New Roman"/>
          <w:i/>
        </w:rPr>
      </w:pPr>
    </w:p>
    <w:p w:rsidR="0077060F" w:rsidRDefault="0077060F" w:rsidP="0077060F">
      <w:pPr>
        <w:ind w:left="720" w:hanging="720"/>
        <w:rPr>
          <w:rFonts w:eastAsia="Times New Roman"/>
          <w:b/>
        </w:rPr>
      </w:pPr>
      <w:r>
        <w:rPr>
          <w:rFonts w:eastAsia="Times New Roman"/>
          <w:b/>
        </w:rPr>
        <w:t>Equality Impact Assessment</w:t>
      </w:r>
    </w:p>
    <w:p w:rsidR="0077060F" w:rsidRDefault="0077060F" w:rsidP="0077060F">
      <w:pPr>
        <w:ind w:left="720" w:hanging="720"/>
        <w:rPr>
          <w:rFonts w:eastAsia="Times New Roman"/>
          <w:b/>
        </w:rPr>
      </w:pPr>
    </w:p>
    <w:p w:rsidR="00ED46BA" w:rsidRDefault="00B60036" w:rsidP="0077060F">
      <w:pPr>
        <w:ind w:left="720" w:hanging="720"/>
        <w:rPr>
          <w:rFonts w:eastAsia="Times New Roman"/>
        </w:rPr>
      </w:pPr>
      <w:r>
        <w:rPr>
          <w:rFonts w:eastAsia="Times New Roman"/>
        </w:rPr>
        <w:t>15</w:t>
      </w:r>
      <w:r w:rsidR="0077060F">
        <w:rPr>
          <w:rFonts w:eastAsia="Times New Roman"/>
          <w:b/>
        </w:rPr>
        <w:tab/>
      </w:r>
      <w:r w:rsidR="00ED46BA">
        <w:rPr>
          <w:rFonts w:eastAsia="Times New Roman"/>
        </w:rPr>
        <w:t xml:space="preserve">Within the consultation a specific question was asked </w:t>
      </w:r>
      <w:r w:rsidR="00C2534E">
        <w:rPr>
          <w:rFonts w:eastAsia="Times New Roman"/>
        </w:rPr>
        <w:t xml:space="preserve">on whether </w:t>
      </w:r>
      <w:proofErr w:type="spellStart"/>
      <w:r w:rsidR="00C2534E">
        <w:rPr>
          <w:rFonts w:eastAsia="Times New Roman"/>
        </w:rPr>
        <w:t>consultees</w:t>
      </w:r>
      <w:proofErr w:type="spellEnd"/>
      <w:r w:rsidR="00ED46BA">
        <w:rPr>
          <w:rFonts w:eastAsia="Times New Roman"/>
        </w:rPr>
        <w:t xml:space="preserve"> felt there were any perceived negative or positive impacts on any of the protected characteristics covered under the Equalities Act 2010.  The majority of respondents stated that there was neither a positive or negative impact on any protected characteristics.  The only characteristics that demonstrated some perceived negative impacts were Disability and Age.</w:t>
      </w:r>
    </w:p>
    <w:p w:rsidR="00ED46BA" w:rsidRDefault="00ED46BA" w:rsidP="0077060F">
      <w:pPr>
        <w:ind w:left="720" w:hanging="720"/>
        <w:rPr>
          <w:rFonts w:eastAsia="Times New Roman"/>
        </w:rPr>
      </w:pPr>
    </w:p>
    <w:p w:rsidR="009C2DD7" w:rsidRDefault="00B60036" w:rsidP="0077060F">
      <w:pPr>
        <w:ind w:left="720" w:hanging="720"/>
        <w:rPr>
          <w:rFonts w:eastAsia="Times New Roman"/>
        </w:rPr>
      </w:pPr>
      <w:r>
        <w:rPr>
          <w:rFonts w:eastAsia="Times New Roman"/>
        </w:rPr>
        <w:t>16</w:t>
      </w:r>
      <w:r w:rsidR="00ED46BA">
        <w:rPr>
          <w:rFonts w:eastAsia="Times New Roman"/>
        </w:rPr>
        <w:t xml:space="preserve"> </w:t>
      </w:r>
      <w:r w:rsidR="00ED46BA">
        <w:rPr>
          <w:rFonts w:eastAsia="Times New Roman"/>
        </w:rPr>
        <w:tab/>
        <w:t>In relation to Disability and Age, within the consultation questionnaire, people were allowed to expand on the issues they raised as concerns.  From the characteristics that have been picked out as having slight negative impacts, this relates to access to housing in general in relation to the adaptability of homes.  The age concern is related to the type of new accommodation being provided for meeting the needs of the elderly population and is there enough choice.</w:t>
      </w:r>
    </w:p>
    <w:p w:rsidR="009C2DD7" w:rsidRDefault="009C2DD7" w:rsidP="0077060F">
      <w:pPr>
        <w:ind w:left="720" w:hanging="720"/>
        <w:rPr>
          <w:rFonts w:eastAsia="Times New Roman"/>
        </w:rPr>
      </w:pPr>
    </w:p>
    <w:p w:rsidR="00C2534E" w:rsidRDefault="00B60036" w:rsidP="00C2534E">
      <w:pPr>
        <w:ind w:left="720" w:hanging="720"/>
        <w:rPr>
          <w:rFonts w:eastAsia="Times New Roman"/>
        </w:rPr>
      </w:pPr>
      <w:r>
        <w:rPr>
          <w:rFonts w:eastAsia="Times New Roman"/>
        </w:rPr>
        <w:t>17</w:t>
      </w:r>
      <w:r w:rsidR="009C2DD7">
        <w:rPr>
          <w:rFonts w:eastAsia="Times New Roman"/>
          <w:b/>
        </w:rPr>
        <w:tab/>
      </w:r>
      <w:r w:rsidR="00ED46BA">
        <w:rPr>
          <w:rFonts w:eastAsia="Times New Roman"/>
        </w:rPr>
        <w:t xml:space="preserve">As a result of these comments, the Housing Strategy Action Plan </w:t>
      </w:r>
      <w:r w:rsidR="00C2534E">
        <w:rPr>
          <w:rFonts w:eastAsia="Times New Roman"/>
        </w:rPr>
        <w:t>proposes t</w:t>
      </w:r>
      <w:r w:rsidR="00507C82">
        <w:rPr>
          <w:rFonts w:eastAsia="Times New Roman"/>
        </w:rPr>
        <w:t xml:space="preserve">hat the Council </w:t>
      </w:r>
      <w:r w:rsidR="00C2534E">
        <w:rPr>
          <w:rFonts w:eastAsia="Times New Roman"/>
        </w:rPr>
        <w:t xml:space="preserve">consider </w:t>
      </w:r>
      <w:r w:rsidR="001073D8">
        <w:rPr>
          <w:rFonts w:eastAsia="Times New Roman"/>
        </w:rPr>
        <w:t>updat</w:t>
      </w:r>
      <w:r w:rsidR="00C2534E">
        <w:rPr>
          <w:rFonts w:eastAsia="Times New Roman"/>
        </w:rPr>
        <w:t>ing</w:t>
      </w:r>
      <w:r w:rsidR="00507C82">
        <w:rPr>
          <w:rFonts w:eastAsia="Times New Roman"/>
        </w:rPr>
        <w:t xml:space="preserve"> </w:t>
      </w:r>
      <w:r w:rsidR="001073D8">
        <w:rPr>
          <w:rFonts w:eastAsia="Times New Roman"/>
        </w:rPr>
        <w:t>its Technical Advice Note (TAN) on Accessible Housing in relation to the National</w:t>
      </w:r>
      <w:r w:rsidR="00ED46BA">
        <w:rPr>
          <w:rFonts w:eastAsia="Times New Roman"/>
        </w:rPr>
        <w:t xml:space="preserve"> </w:t>
      </w:r>
      <w:r w:rsidR="009C2DD7">
        <w:rPr>
          <w:rFonts w:eastAsia="Times New Roman"/>
        </w:rPr>
        <w:t>Wheelchair Standards Level 3</w:t>
      </w:r>
      <w:r w:rsidR="00383068">
        <w:rPr>
          <w:rFonts w:eastAsia="Times New Roman"/>
        </w:rPr>
        <w:t>,</w:t>
      </w:r>
      <w:r w:rsidR="009C2DD7">
        <w:rPr>
          <w:rFonts w:eastAsia="Times New Roman"/>
        </w:rPr>
        <w:t xml:space="preserve"> and as part of the Elderly Persons </w:t>
      </w:r>
      <w:r w:rsidR="00383068">
        <w:rPr>
          <w:rFonts w:eastAsia="Times New Roman"/>
        </w:rPr>
        <w:t>R</w:t>
      </w:r>
      <w:r w:rsidR="009C2DD7">
        <w:rPr>
          <w:rFonts w:eastAsia="Times New Roman"/>
        </w:rPr>
        <w:t xml:space="preserve">eview </w:t>
      </w:r>
      <w:r w:rsidR="00383068">
        <w:rPr>
          <w:rFonts w:eastAsia="Times New Roman"/>
        </w:rPr>
        <w:t xml:space="preserve">will </w:t>
      </w:r>
      <w:r w:rsidR="009C2DD7">
        <w:rPr>
          <w:rFonts w:eastAsia="Times New Roman"/>
        </w:rPr>
        <w:t>look at the demand for different types of housing accommodation for elderly people and</w:t>
      </w:r>
      <w:r w:rsidR="00383068">
        <w:rPr>
          <w:rFonts w:eastAsia="Times New Roman"/>
        </w:rPr>
        <w:t xml:space="preserve"> seek to </w:t>
      </w:r>
      <w:r w:rsidR="009C2DD7">
        <w:rPr>
          <w:rFonts w:eastAsia="Times New Roman"/>
        </w:rPr>
        <w:t xml:space="preserve">ensure the type of accommodation people want to see is incorporated into new developments on a site by site basis.  </w:t>
      </w:r>
    </w:p>
    <w:p w:rsidR="00C2534E" w:rsidRDefault="00C2534E" w:rsidP="00C2534E">
      <w:pPr>
        <w:ind w:left="720" w:hanging="720"/>
        <w:rPr>
          <w:rFonts w:eastAsia="Times New Roman"/>
        </w:rPr>
      </w:pPr>
    </w:p>
    <w:p w:rsidR="0077060F" w:rsidRPr="00C2534E" w:rsidRDefault="00B60036" w:rsidP="00C2534E">
      <w:pPr>
        <w:ind w:left="720" w:hanging="720"/>
        <w:rPr>
          <w:rFonts w:eastAsia="Times New Roman"/>
        </w:rPr>
      </w:pPr>
      <w:r>
        <w:rPr>
          <w:rFonts w:eastAsia="Times New Roman"/>
        </w:rPr>
        <w:t>18</w:t>
      </w:r>
      <w:r w:rsidR="00C2534E">
        <w:rPr>
          <w:rFonts w:eastAsia="Times New Roman"/>
        </w:rPr>
        <w:t xml:space="preserve">  </w:t>
      </w:r>
      <w:r w:rsidR="00C2534E">
        <w:rPr>
          <w:rFonts w:eastAsia="Times New Roman"/>
        </w:rPr>
        <w:tab/>
        <w:t>The Equality Impact Assessment for this report is at Appendix 4</w:t>
      </w:r>
      <w:r w:rsidR="00ED46BA">
        <w:rPr>
          <w:rFonts w:eastAsia="Times New Roman"/>
        </w:rPr>
        <w:t xml:space="preserve"> </w:t>
      </w:r>
    </w:p>
    <w:p w:rsidR="0077060F" w:rsidRDefault="0077060F" w:rsidP="0077060F">
      <w:pPr>
        <w:ind w:left="720" w:hanging="720"/>
        <w:rPr>
          <w:rFonts w:eastAsia="Times New Roman"/>
          <w:i/>
        </w:rPr>
      </w:pPr>
    </w:p>
    <w:p w:rsidR="008368A3" w:rsidRDefault="008368A3" w:rsidP="0077060F">
      <w:pPr>
        <w:ind w:left="720" w:hanging="720"/>
        <w:rPr>
          <w:rFonts w:eastAsia="Times New Roman"/>
          <w:i/>
        </w:rPr>
      </w:pPr>
    </w:p>
    <w:p w:rsidR="0077060F" w:rsidRDefault="0077060F" w:rsidP="0077060F">
      <w:pPr>
        <w:ind w:left="720" w:hanging="720"/>
        <w:rPr>
          <w:rFonts w:eastAsia="Times New Roman"/>
          <w:b/>
        </w:rPr>
      </w:pPr>
      <w:r>
        <w:rPr>
          <w:rFonts w:eastAsia="Times New Roman"/>
          <w:b/>
        </w:rPr>
        <w:t>Financial Implications</w:t>
      </w:r>
    </w:p>
    <w:p w:rsidR="0077060F" w:rsidRDefault="0077060F" w:rsidP="0077060F">
      <w:pPr>
        <w:ind w:left="720" w:hanging="720"/>
        <w:rPr>
          <w:rFonts w:eastAsia="Times New Roman"/>
          <w:b/>
        </w:rPr>
      </w:pPr>
    </w:p>
    <w:p w:rsidR="0077060F" w:rsidRDefault="0077060F" w:rsidP="0077060F">
      <w:pPr>
        <w:ind w:left="720" w:hanging="720"/>
        <w:rPr>
          <w:rFonts w:eastAsia="Times New Roman"/>
          <w:i/>
        </w:rPr>
      </w:pPr>
      <w:r w:rsidRPr="00383068">
        <w:rPr>
          <w:rFonts w:eastAsia="Times New Roman"/>
        </w:rPr>
        <w:t>1</w:t>
      </w:r>
      <w:r w:rsidR="00B60036">
        <w:rPr>
          <w:rFonts w:eastAsia="Times New Roman"/>
        </w:rPr>
        <w:t>9</w:t>
      </w:r>
      <w:r>
        <w:rPr>
          <w:rFonts w:eastAsia="Times New Roman"/>
          <w:b/>
        </w:rPr>
        <w:t xml:space="preserve"> </w:t>
      </w:r>
      <w:r>
        <w:rPr>
          <w:rFonts w:eastAsia="Times New Roman"/>
          <w:b/>
        </w:rPr>
        <w:tab/>
      </w:r>
      <w:r w:rsidRPr="0080301E">
        <w:rPr>
          <w:rFonts w:eastAsia="Times New Roman"/>
        </w:rPr>
        <w:t xml:space="preserve">Any financial implications for specific projects and work programmes identified in the action plan are identified and addressed in the relevant project documentation for those projects </w:t>
      </w:r>
      <w:r w:rsidR="00C2534E">
        <w:rPr>
          <w:rFonts w:eastAsia="Times New Roman"/>
        </w:rPr>
        <w:t xml:space="preserve">or </w:t>
      </w:r>
      <w:r w:rsidRPr="0080301E">
        <w:rPr>
          <w:rFonts w:eastAsia="Times New Roman"/>
        </w:rPr>
        <w:t>programmes.</w:t>
      </w:r>
    </w:p>
    <w:p w:rsidR="0077060F" w:rsidRDefault="0077060F" w:rsidP="0077060F">
      <w:pPr>
        <w:ind w:left="720" w:hanging="720"/>
        <w:rPr>
          <w:rFonts w:eastAsia="Times New Roman"/>
          <w:i/>
        </w:rPr>
      </w:pPr>
    </w:p>
    <w:p w:rsidR="0077060F" w:rsidRPr="003B1549" w:rsidRDefault="00B60036" w:rsidP="0077060F">
      <w:pPr>
        <w:ind w:left="720" w:hanging="720"/>
        <w:rPr>
          <w:rFonts w:eastAsia="Times New Roman"/>
          <w:i/>
        </w:rPr>
      </w:pPr>
      <w:r>
        <w:rPr>
          <w:rFonts w:eastAsia="Times New Roman"/>
        </w:rPr>
        <w:t>20</w:t>
      </w:r>
      <w:r w:rsidR="0077060F">
        <w:rPr>
          <w:rFonts w:eastAsia="Times New Roman"/>
          <w:b/>
        </w:rPr>
        <w:tab/>
      </w:r>
      <w:r w:rsidR="0077060F" w:rsidRPr="003B1549">
        <w:rPr>
          <w:rFonts w:eastAsia="Times New Roman"/>
        </w:rPr>
        <w:t xml:space="preserve">Included within </w:t>
      </w:r>
      <w:r w:rsidR="003B1549" w:rsidRPr="003B1549">
        <w:rPr>
          <w:rFonts w:eastAsia="Times New Roman"/>
        </w:rPr>
        <w:t xml:space="preserve">the HRA Business Plan provision has been specifically made for the following:  </w:t>
      </w:r>
    </w:p>
    <w:p w:rsidR="0077060F" w:rsidRPr="003B1549" w:rsidRDefault="0077060F" w:rsidP="0077060F">
      <w:pPr>
        <w:rPr>
          <w:rFonts w:eastAsia="Times New Roman"/>
          <w:i/>
        </w:rPr>
      </w:pPr>
    </w:p>
    <w:p w:rsidR="0077060F" w:rsidRPr="003B1549" w:rsidRDefault="0077060F" w:rsidP="0077060F">
      <w:pPr>
        <w:numPr>
          <w:ilvl w:val="0"/>
          <w:numId w:val="4"/>
        </w:numPr>
        <w:rPr>
          <w:rFonts w:eastAsia="Times New Roman"/>
        </w:rPr>
      </w:pPr>
      <w:r w:rsidRPr="003B1549">
        <w:rPr>
          <w:rFonts w:eastAsia="Times New Roman"/>
        </w:rPr>
        <w:t>Delivery of new housing at Barton</w:t>
      </w:r>
      <w:r w:rsidR="00383068">
        <w:rPr>
          <w:rFonts w:eastAsia="Times New Roman"/>
        </w:rPr>
        <w:t xml:space="preserve"> Park</w:t>
      </w:r>
    </w:p>
    <w:p w:rsidR="0077060F" w:rsidRPr="003B1549" w:rsidRDefault="0077060F" w:rsidP="0077060F">
      <w:pPr>
        <w:numPr>
          <w:ilvl w:val="0"/>
          <w:numId w:val="4"/>
        </w:numPr>
        <w:rPr>
          <w:rFonts w:eastAsia="Times New Roman"/>
        </w:rPr>
      </w:pPr>
      <w:r w:rsidRPr="003B1549">
        <w:rPr>
          <w:rFonts w:eastAsia="Times New Roman"/>
        </w:rPr>
        <w:lastRenderedPageBreak/>
        <w:t>The delivery of 113 new dwellings over the coming two years, part funded by HCA grant</w:t>
      </w:r>
    </w:p>
    <w:p w:rsidR="0077060F" w:rsidRPr="003B1549" w:rsidRDefault="0077060F" w:rsidP="0077060F">
      <w:pPr>
        <w:numPr>
          <w:ilvl w:val="0"/>
          <w:numId w:val="4"/>
        </w:numPr>
        <w:rPr>
          <w:rFonts w:eastAsia="Times New Roman"/>
        </w:rPr>
      </w:pPr>
      <w:r w:rsidRPr="003B1549">
        <w:rPr>
          <w:rFonts w:eastAsia="Times New Roman"/>
        </w:rPr>
        <w:t>On-going repairs, maintenance and refurbishment to its stock of council dwellings, including the tower blocks</w:t>
      </w:r>
    </w:p>
    <w:p w:rsidR="0077060F" w:rsidRPr="003B1549" w:rsidRDefault="0077060F" w:rsidP="0077060F">
      <w:pPr>
        <w:numPr>
          <w:ilvl w:val="0"/>
          <w:numId w:val="4"/>
        </w:numPr>
        <w:rPr>
          <w:rFonts w:eastAsia="Times New Roman"/>
          <w:i/>
        </w:rPr>
      </w:pPr>
      <w:r w:rsidRPr="003B1549">
        <w:rPr>
          <w:rFonts w:eastAsia="Times New Roman"/>
        </w:rPr>
        <w:t>Management related costs in providing all landlord services to our tenants</w:t>
      </w:r>
    </w:p>
    <w:p w:rsidR="003B1549" w:rsidRPr="003B1549" w:rsidRDefault="00383068" w:rsidP="0077060F">
      <w:pPr>
        <w:numPr>
          <w:ilvl w:val="0"/>
          <w:numId w:val="4"/>
        </w:numPr>
        <w:rPr>
          <w:rFonts w:eastAsia="Times New Roman"/>
          <w:i/>
        </w:rPr>
      </w:pPr>
      <w:r>
        <w:rPr>
          <w:rFonts w:eastAsia="Times New Roman"/>
        </w:rPr>
        <w:t>Using borrowing h</w:t>
      </w:r>
      <w:r w:rsidR="003B1549">
        <w:rPr>
          <w:rFonts w:eastAsia="Times New Roman"/>
        </w:rPr>
        <w:t xml:space="preserve">eadroom to support some of the strategic sites as part of the City Deal in relation to New Build.  </w:t>
      </w:r>
    </w:p>
    <w:p w:rsidR="0077060F" w:rsidRDefault="0077060F" w:rsidP="0077060F">
      <w:pPr>
        <w:rPr>
          <w:rFonts w:eastAsia="Times New Roman"/>
          <w:b/>
        </w:rPr>
      </w:pPr>
    </w:p>
    <w:p w:rsidR="0077060F" w:rsidRPr="0080301E" w:rsidRDefault="00B60036" w:rsidP="0077060F">
      <w:pPr>
        <w:ind w:left="720" w:hanging="720"/>
        <w:rPr>
          <w:rFonts w:eastAsia="Times New Roman"/>
        </w:rPr>
      </w:pPr>
      <w:r>
        <w:rPr>
          <w:rFonts w:eastAsia="Times New Roman"/>
        </w:rPr>
        <w:t>21</w:t>
      </w:r>
      <w:r w:rsidR="0077060F">
        <w:rPr>
          <w:rFonts w:eastAsia="Times New Roman"/>
          <w:b/>
        </w:rPr>
        <w:tab/>
      </w:r>
      <w:r w:rsidR="0077060F" w:rsidRPr="0080301E">
        <w:rPr>
          <w:rFonts w:eastAsia="Times New Roman"/>
        </w:rPr>
        <w:t>In the General Fund Budget there is provision for the costs of homelessness and providing other private sector housing advice.  No new financial implications are</w:t>
      </w:r>
      <w:r w:rsidR="00ED46BA">
        <w:rPr>
          <w:rFonts w:eastAsia="Times New Roman"/>
        </w:rPr>
        <w:t xml:space="preserve"> brought forward by the</w:t>
      </w:r>
      <w:r w:rsidR="00C534F9">
        <w:rPr>
          <w:rFonts w:eastAsia="Times New Roman"/>
        </w:rPr>
        <w:t xml:space="preserve"> </w:t>
      </w:r>
      <w:r w:rsidR="00383068">
        <w:rPr>
          <w:rFonts w:eastAsia="Times New Roman"/>
        </w:rPr>
        <w:t>f</w:t>
      </w:r>
      <w:r w:rsidR="00ED46BA">
        <w:rPr>
          <w:rFonts w:eastAsia="Times New Roman"/>
        </w:rPr>
        <w:t>inal version of the</w:t>
      </w:r>
      <w:r w:rsidR="00C534F9">
        <w:rPr>
          <w:rFonts w:eastAsia="Times New Roman"/>
        </w:rPr>
        <w:t xml:space="preserve"> Housing Strategy in relation to the General Fund.  </w:t>
      </w:r>
    </w:p>
    <w:p w:rsidR="0077060F" w:rsidRDefault="0077060F" w:rsidP="0077060F">
      <w:pPr>
        <w:ind w:left="720" w:hanging="720"/>
        <w:rPr>
          <w:rFonts w:eastAsia="Times New Roman"/>
          <w:i/>
        </w:rPr>
      </w:pPr>
    </w:p>
    <w:p w:rsidR="008368A3" w:rsidRDefault="008368A3" w:rsidP="0077060F">
      <w:pPr>
        <w:ind w:left="720" w:hanging="720"/>
        <w:rPr>
          <w:rFonts w:eastAsia="Times New Roman"/>
          <w:i/>
        </w:rPr>
      </w:pPr>
    </w:p>
    <w:p w:rsidR="0077060F" w:rsidRDefault="0077060F" w:rsidP="0077060F">
      <w:pPr>
        <w:ind w:left="720" w:hanging="720"/>
        <w:rPr>
          <w:rFonts w:eastAsia="Times New Roman"/>
          <w:b/>
        </w:rPr>
      </w:pPr>
      <w:r>
        <w:rPr>
          <w:rFonts w:eastAsia="Times New Roman"/>
          <w:b/>
        </w:rPr>
        <w:t>Legal Implications</w:t>
      </w:r>
    </w:p>
    <w:p w:rsidR="0077060F" w:rsidRDefault="0077060F" w:rsidP="0077060F">
      <w:pPr>
        <w:ind w:left="720" w:hanging="720"/>
        <w:rPr>
          <w:rFonts w:eastAsia="Times New Roman"/>
          <w:b/>
        </w:rPr>
      </w:pPr>
    </w:p>
    <w:p w:rsidR="0077060F" w:rsidRDefault="00B60036" w:rsidP="0077060F">
      <w:pPr>
        <w:ind w:left="720" w:hanging="720"/>
        <w:rPr>
          <w:rFonts w:eastAsia="Times New Roman"/>
          <w:i/>
        </w:rPr>
      </w:pPr>
      <w:r>
        <w:rPr>
          <w:rFonts w:eastAsia="Times New Roman"/>
        </w:rPr>
        <w:t>22</w:t>
      </w:r>
      <w:r w:rsidR="0077060F">
        <w:rPr>
          <w:rFonts w:eastAsia="Times New Roman"/>
          <w:b/>
        </w:rPr>
        <w:tab/>
      </w:r>
      <w:r w:rsidR="0077060F" w:rsidRPr="0080301E">
        <w:rPr>
          <w:rFonts w:eastAsia="Times New Roman"/>
        </w:rPr>
        <w:t>The Local Government Act 2003 requires local housing authorities to have in place a Ho</w:t>
      </w:r>
      <w:r w:rsidR="00C534F9">
        <w:rPr>
          <w:rFonts w:eastAsia="Times New Roman"/>
        </w:rPr>
        <w:t xml:space="preserve">using Strategy for the City.  </w:t>
      </w:r>
    </w:p>
    <w:p w:rsidR="0077060F" w:rsidRDefault="0077060F" w:rsidP="0077060F">
      <w:pPr>
        <w:ind w:left="720" w:hanging="720"/>
        <w:rPr>
          <w:rFonts w:eastAsia="Times New Roman"/>
          <w:i/>
        </w:rPr>
      </w:pPr>
    </w:p>
    <w:p w:rsidR="0077060F" w:rsidRDefault="00B60036" w:rsidP="0077060F">
      <w:pPr>
        <w:ind w:left="720" w:hanging="720"/>
        <w:rPr>
          <w:rFonts w:eastAsia="Times New Roman"/>
        </w:rPr>
      </w:pPr>
      <w:r>
        <w:rPr>
          <w:rFonts w:eastAsia="Times New Roman"/>
        </w:rPr>
        <w:t>23</w:t>
      </w:r>
      <w:r w:rsidR="0077060F">
        <w:rPr>
          <w:rFonts w:eastAsia="Times New Roman"/>
          <w:b/>
        </w:rPr>
        <w:t xml:space="preserve"> </w:t>
      </w:r>
      <w:r w:rsidR="0077060F">
        <w:rPr>
          <w:rFonts w:eastAsia="Times New Roman"/>
          <w:b/>
        </w:rPr>
        <w:tab/>
      </w:r>
      <w:r w:rsidR="0077060F" w:rsidRPr="0080301E">
        <w:rPr>
          <w:rFonts w:eastAsia="Times New Roman"/>
        </w:rPr>
        <w:t xml:space="preserve">Meeting the Council’s statutory housing obligations is reflected in the </w:t>
      </w:r>
      <w:r w:rsidR="00C534F9">
        <w:rPr>
          <w:rFonts w:eastAsia="Times New Roman"/>
        </w:rPr>
        <w:t>priorities</w:t>
      </w:r>
      <w:r w:rsidR="0077060F" w:rsidRPr="0080301E">
        <w:rPr>
          <w:rFonts w:eastAsia="Times New Roman"/>
        </w:rPr>
        <w:t xml:space="preserve"> of the Housing Strategy, including statutory homelessness duties; provision of housing advice; and landlord responsibilities.</w:t>
      </w:r>
    </w:p>
    <w:p w:rsidR="00C534F9" w:rsidRDefault="00C534F9" w:rsidP="0077060F">
      <w:pPr>
        <w:ind w:left="720" w:hanging="720"/>
        <w:rPr>
          <w:rFonts w:eastAsia="Times New Roman"/>
          <w:i/>
        </w:rPr>
      </w:pPr>
    </w:p>
    <w:p w:rsidR="00ED46BA" w:rsidRDefault="00B60036" w:rsidP="00E721A4">
      <w:pPr>
        <w:ind w:left="720" w:hanging="720"/>
        <w:rPr>
          <w:rFonts w:eastAsia="Times New Roman"/>
        </w:rPr>
      </w:pPr>
      <w:r>
        <w:rPr>
          <w:rFonts w:eastAsia="Times New Roman"/>
        </w:rPr>
        <w:t>24</w:t>
      </w:r>
      <w:r w:rsidR="00C534F9">
        <w:rPr>
          <w:rFonts w:eastAsia="Times New Roman"/>
          <w:b/>
        </w:rPr>
        <w:tab/>
      </w:r>
      <w:r w:rsidR="00C534F9">
        <w:rPr>
          <w:rFonts w:eastAsia="Times New Roman"/>
        </w:rPr>
        <w:t xml:space="preserve">There are no further legal implications resulting from the Housing Strategy 2015-2018 and the attached action plan.  </w:t>
      </w:r>
    </w:p>
    <w:p w:rsidR="00383068" w:rsidRDefault="00383068" w:rsidP="0077060F">
      <w:pPr>
        <w:ind w:left="720" w:hanging="720"/>
        <w:rPr>
          <w:rFonts w:eastAsia="Times New Roman"/>
        </w:rPr>
      </w:pPr>
    </w:p>
    <w:p w:rsidR="008368A3" w:rsidRPr="00C534F9" w:rsidRDefault="008368A3" w:rsidP="0077060F">
      <w:pPr>
        <w:ind w:left="720" w:hanging="720"/>
        <w:rPr>
          <w:rFonts w:eastAsia="Times New Roman"/>
        </w:rPr>
      </w:pPr>
    </w:p>
    <w:tbl>
      <w:tblPr>
        <w:tblW w:w="0" w:type="auto"/>
        <w:tblInd w:w="2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7060F" w:rsidRPr="0077060F" w:rsidTr="0077060F">
        <w:tc>
          <w:tcPr>
            <w:tcW w:w="8522" w:type="dxa"/>
          </w:tcPr>
          <w:p w:rsidR="0077060F" w:rsidRPr="00E721A4" w:rsidRDefault="0077060F" w:rsidP="0077060F">
            <w:pPr>
              <w:tabs>
                <w:tab w:val="left" w:pos="720"/>
                <w:tab w:val="left" w:pos="1440"/>
                <w:tab w:val="left" w:pos="2160"/>
                <w:tab w:val="left" w:pos="2880"/>
              </w:tabs>
              <w:rPr>
                <w:rFonts w:eastAsia="Times New Roman" w:cs="Times New Roman"/>
                <w:b/>
                <w:bCs/>
              </w:rPr>
            </w:pPr>
            <w:r w:rsidRPr="0077060F">
              <w:rPr>
                <w:rFonts w:eastAsia="Times New Roman" w:cs="Times New Roman"/>
                <w:b/>
                <w:bCs/>
              </w:rPr>
              <w:t>Name and contact details of author:</w:t>
            </w:r>
          </w:p>
          <w:p w:rsidR="0077060F" w:rsidRPr="0077060F" w:rsidRDefault="00C37DA7" w:rsidP="0077060F">
            <w:pPr>
              <w:tabs>
                <w:tab w:val="left" w:pos="720"/>
                <w:tab w:val="left" w:pos="1440"/>
                <w:tab w:val="left" w:pos="2160"/>
                <w:tab w:val="left" w:pos="2880"/>
              </w:tabs>
              <w:rPr>
                <w:rFonts w:eastAsia="Times New Roman" w:cs="Times New Roman"/>
              </w:rPr>
            </w:pPr>
            <w:r>
              <w:rPr>
                <w:rFonts w:eastAsia="Times New Roman" w:cs="Times New Roman"/>
              </w:rPr>
              <w:t>Nichola Griffiths</w:t>
            </w:r>
          </w:p>
          <w:p w:rsidR="0077060F" w:rsidRPr="0077060F" w:rsidRDefault="00C37DA7" w:rsidP="0077060F">
            <w:pPr>
              <w:tabs>
                <w:tab w:val="left" w:pos="720"/>
                <w:tab w:val="left" w:pos="1440"/>
                <w:tab w:val="left" w:pos="2160"/>
                <w:tab w:val="left" w:pos="2880"/>
              </w:tabs>
              <w:rPr>
                <w:rFonts w:eastAsia="Times New Roman" w:cs="Times New Roman"/>
              </w:rPr>
            </w:pPr>
            <w:r>
              <w:rPr>
                <w:rFonts w:eastAsia="Times New Roman" w:cs="Times New Roman"/>
              </w:rPr>
              <w:t>Service Development Officer</w:t>
            </w:r>
          </w:p>
          <w:p w:rsidR="0077060F" w:rsidRPr="0077060F" w:rsidRDefault="0077060F" w:rsidP="0077060F">
            <w:pPr>
              <w:rPr>
                <w:rFonts w:eastAsia="Times New Roman" w:cs="Times New Roman"/>
              </w:rPr>
            </w:pPr>
            <w:r w:rsidRPr="0077060F">
              <w:rPr>
                <w:rFonts w:eastAsia="Times New Roman" w:cs="Times New Roman"/>
              </w:rPr>
              <w:t>Housing and Property</w:t>
            </w:r>
          </w:p>
          <w:p w:rsidR="0077060F" w:rsidRPr="0077060F" w:rsidRDefault="0077060F" w:rsidP="0077060F">
            <w:pPr>
              <w:tabs>
                <w:tab w:val="left" w:pos="720"/>
                <w:tab w:val="left" w:pos="1440"/>
                <w:tab w:val="left" w:pos="2160"/>
                <w:tab w:val="left" w:pos="2880"/>
              </w:tabs>
              <w:rPr>
                <w:rFonts w:eastAsia="Times New Roman" w:cs="Times New Roman"/>
              </w:rPr>
            </w:pPr>
          </w:p>
        </w:tc>
      </w:tr>
      <w:tr w:rsidR="0077060F" w:rsidRPr="0077060F" w:rsidTr="0077060F">
        <w:tc>
          <w:tcPr>
            <w:tcW w:w="8522" w:type="dxa"/>
          </w:tcPr>
          <w:p w:rsidR="0077060F" w:rsidRPr="0077060F" w:rsidRDefault="0077060F" w:rsidP="0077060F">
            <w:pPr>
              <w:rPr>
                <w:rFonts w:eastAsia="Times New Roman" w:cs="Times New Roman"/>
              </w:rPr>
            </w:pPr>
            <w:r w:rsidRPr="0077060F">
              <w:rPr>
                <w:rFonts w:eastAsia="Times New Roman" w:cs="Times New Roman"/>
              </w:rPr>
              <w:t>Dave Scholes</w:t>
            </w:r>
          </w:p>
        </w:tc>
      </w:tr>
      <w:tr w:rsidR="0077060F" w:rsidRPr="0077060F" w:rsidTr="0077060F">
        <w:tc>
          <w:tcPr>
            <w:tcW w:w="8522" w:type="dxa"/>
          </w:tcPr>
          <w:p w:rsidR="0077060F" w:rsidRPr="0077060F" w:rsidRDefault="0077060F" w:rsidP="0077060F">
            <w:pPr>
              <w:rPr>
                <w:rFonts w:eastAsia="Times New Roman" w:cs="Times New Roman"/>
              </w:rPr>
            </w:pPr>
            <w:r w:rsidRPr="0077060F">
              <w:rPr>
                <w:rFonts w:eastAsia="Times New Roman" w:cs="Times New Roman"/>
              </w:rPr>
              <w:t>Housing Strategy and Needs Manager</w:t>
            </w:r>
          </w:p>
          <w:p w:rsidR="0077060F" w:rsidRPr="0077060F" w:rsidRDefault="0077060F" w:rsidP="0077060F">
            <w:pPr>
              <w:rPr>
                <w:rFonts w:eastAsia="Times New Roman" w:cs="Times New Roman"/>
              </w:rPr>
            </w:pPr>
            <w:r w:rsidRPr="0077060F">
              <w:rPr>
                <w:rFonts w:eastAsia="Times New Roman" w:cs="Times New Roman"/>
              </w:rPr>
              <w:t>Housing and Property</w:t>
            </w:r>
          </w:p>
          <w:p w:rsidR="0077060F" w:rsidRPr="0077060F" w:rsidRDefault="0077060F" w:rsidP="0077060F">
            <w:pPr>
              <w:rPr>
                <w:rFonts w:eastAsia="Times New Roman" w:cs="Times New Roman"/>
              </w:rPr>
            </w:pPr>
            <w:r w:rsidRPr="0077060F">
              <w:rPr>
                <w:rFonts w:eastAsia="Times New Roman" w:cs="Times New Roman"/>
              </w:rPr>
              <w:t xml:space="preserve">Tel: 01865 252636   Email: </w:t>
            </w:r>
            <w:hyperlink r:id="rId9" w:history="1">
              <w:r w:rsidRPr="0077060F">
                <w:rPr>
                  <w:rFonts w:eastAsia="Times New Roman" w:cs="Times New Roman"/>
                  <w:color w:val="0000FF"/>
                  <w:u w:val="single"/>
                </w:rPr>
                <w:t>dscholes@oxford.gov.uk</w:t>
              </w:r>
            </w:hyperlink>
          </w:p>
        </w:tc>
      </w:tr>
      <w:tr w:rsidR="0077060F" w:rsidRPr="0077060F" w:rsidTr="0077060F">
        <w:trPr>
          <w:trHeight w:val="87"/>
        </w:trPr>
        <w:tc>
          <w:tcPr>
            <w:tcW w:w="8522" w:type="dxa"/>
          </w:tcPr>
          <w:p w:rsidR="0077060F" w:rsidRPr="0077060F" w:rsidRDefault="0077060F" w:rsidP="0077060F">
            <w:pPr>
              <w:tabs>
                <w:tab w:val="left" w:pos="720"/>
                <w:tab w:val="left" w:pos="1440"/>
                <w:tab w:val="left" w:pos="2160"/>
                <w:tab w:val="left" w:pos="2880"/>
              </w:tabs>
              <w:rPr>
                <w:rFonts w:eastAsia="Times New Roman" w:cs="Times New Roman"/>
                <w:color w:val="0000FF"/>
                <w:u w:val="single"/>
              </w:rPr>
            </w:pPr>
          </w:p>
        </w:tc>
      </w:tr>
    </w:tbl>
    <w:p w:rsidR="0077060F" w:rsidRPr="0077060F" w:rsidRDefault="0077060F" w:rsidP="0077060F">
      <w:pPr>
        <w:rPr>
          <w:rFonts w:eastAsia="Times New Roman"/>
        </w:rPr>
      </w:pPr>
    </w:p>
    <w:p w:rsidR="0077060F" w:rsidRPr="00E721A4" w:rsidRDefault="0077060F" w:rsidP="00FE16E1">
      <w:pPr>
        <w:rPr>
          <w:rFonts w:eastAsia="Times New Roman"/>
        </w:rPr>
      </w:pPr>
      <w:r w:rsidRPr="0077060F">
        <w:rPr>
          <w:rFonts w:eastAsia="Times New Roman"/>
        </w:rPr>
        <w:t>List of background papers:</w:t>
      </w:r>
      <w:r>
        <w:rPr>
          <w:rFonts w:eastAsia="Times New Roman"/>
        </w:rPr>
        <w:t xml:space="preserve"> </w:t>
      </w:r>
      <w:r w:rsidRPr="0077060F">
        <w:rPr>
          <w:rFonts w:eastAsia="Times New Roman"/>
        </w:rPr>
        <w:t>None</w:t>
      </w:r>
    </w:p>
    <w:sectPr w:rsidR="0077060F" w:rsidRPr="00E72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2EE"/>
    <w:multiLevelType w:val="hybridMultilevel"/>
    <w:tmpl w:val="60262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28351F"/>
    <w:multiLevelType w:val="hybridMultilevel"/>
    <w:tmpl w:val="5D18F2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F7711C"/>
    <w:multiLevelType w:val="hybridMultilevel"/>
    <w:tmpl w:val="0BF06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D31B9A"/>
    <w:multiLevelType w:val="hybridMultilevel"/>
    <w:tmpl w:val="2A1E0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1AB78D0"/>
    <w:multiLevelType w:val="hybridMultilevel"/>
    <w:tmpl w:val="DD8A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B23E3F"/>
    <w:multiLevelType w:val="hybridMultilevel"/>
    <w:tmpl w:val="83AE1B3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DB51ED"/>
    <w:multiLevelType w:val="hybridMultilevel"/>
    <w:tmpl w:val="87B47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2096ADF"/>
    <w:multiLevelType w:val="hybridMultilevel"/>
    <w:tmpl w:val="538202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EE963AB"/>
    <w:multiLevelType w:val="hybridMultilevel"/>
    <w:tmpl w:val="7B74B122"/>
    <w:lvl w:ilvl="0" w:tplc="D4F8E86E">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6521DB"/>
    <w:multiLevelType w:val="hybridMultilevel"/>
    <w:tmpl w:val="E2D0E7A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29254C0"/>
    <w:multiLevelType w:val="hybridMultilevel"/>
    <w:tmpl w:val="222E99B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52875CA"/>
    <w:multiLevelType w:val="hybridMultilevel"/>
    <w:tmpl w:val="E6725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9C707D"/>
    <w:multiLevelType w:val="hybridMultilevel"/>
    <w:tmpl w:val="983264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E672834"/>
    <w:multiLevelType w:val="hybridMultilevel"/>
    <w:tmpl w:val="06C0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D05AAC"/>
    <w:multiLevelType w:val="hybridMultilevel"/>
    <w:tmpl w:val="7C34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240424"/>
    <w:multiLevelType w:val="hybridMultilevel"/>
    <w:tmpl w:val="0A0A7D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BD26DDB"/>
    <w:multiLevelType w:val="hybridMultilevel"/>
    <w:tmpl w:val="B072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3347B4"/>
    <w:multiLevelType w:val="hybridMultilevel"/>
    <w:tmpl w:val="16E231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3291A71"/>
    <w:multiLevelType w:val="hybridMultilevel"/>
    <w:tmpl w:val="B2BC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6F58D1"/>
    <w:multiLevelType w:val="hybridMultilevel"/>
    <w:tmpl w:val="2C9E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CB363E"/>
    <w:multiLevelType w:val="hybridMultilevel"/>
    <w:tmpl w:val="2E501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CE34459"/>
    <w:multiLevelType w:val="hybridMultilevel"/>
    <w:tmpl w:val="4D4E2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66680C"/>
    <w:multiLevelType w:val="hybridMultilevel"/>
    <w:tmpl w:val="F6C2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5A609A"/>
    <w:multiLevelType w:val="hybridMultilevel"/>
    <w:tmpl w:val="A2DEAE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66BF6EC5"/>
    <w:multiLevelType w:val="hybridMultilevel"/>
    <w:tmpl w:val="BB3A5A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675F7165"/>
    <w:multiLevelType w:val="hybridMultilevel"/>
    <w:tmpl w:val="E28CC1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9436F21"/>
    <w:multiLevelType w:val="hybridMultilevel"/>
    <w:tmpl w:val="F746C19A"/>
    <w:lvl w:ilvl="0" w:tplc="E0385AA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A766C3"/>
    <w:multiLevelType w:val="hybridMultilevel"/>
    <w:tmpl w:val="07DE14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B6C6208"/>
    <w:multiLevelType w:val="hybridMultilevel"/>
    <w:tmpl w:val="5036B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F206A7F"/>
    <w:multiLevelType w:val="hybridMultilevel"/>
    <w:tmpl w:val="337A4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03440EC"/>
    <w:multiLevelType w:val="hybridMultilevel"/>
    <w:tmpl w:val="D9842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6307344"/>
    <w:multiLevelType w:val="hybridMultilevel"/>
    <w:tmpl w:val="2CD6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4A72BF"/>
    <w:multiLevelType w:val="hybridMultilevel"/>
    <w:tmpl w:val="A18634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E654CCE"/>
    <w:multiLevelType w:val="hybridMultilevel"/>
    <w:tmpl w:val="78D032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F1C18B9"/>
    <w:multiLevelType w:val="hybridMultilevel"/>
    <w:tmpl w:val="531AA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15"/>
  </w:num>
  <w:num w:numId="4">
    <w:abstractNumId w:val="20"/>
  </w:num>
  <w:num w:numId="5">
    <w:abstractNumId w:val="26"/>
  </w:num>
  <w:num w:numId="6">
    <w:abstractNumId w:val="8"/>
  </w:num>
  <w:num w:numId="7">
    <w:abstractNumId w:val="23"/>
  </w:num>
  <w:num w:numId="8">
    <w:abstractNumId w:val="25"/>
  </w:num>
  <w:num w:numId="9">
    <w:abstractNumId w:val="28"/>
  </w:num>
  <w:num w:numId="10">
    <w:abstractNumId w:val="11"/>
  </w:num>
  <w:num w:numId="11">
    <w:abstractNumId w:val="21"/>
  </w:num>
  <w:num w:numId="12">
    <w:abstractNumId w:val="1"/>
  </w:num>
  <w:num w:numId="13">
    <w:abstractNumId w:val="9"/>
  </w:num>
  <w:num w:numId="14">
    <w:abstractNumId w:val="27"/>
  </w:num>
  <w:num w:numId="15">
    <w:abstractNumId w:val="14"/>
  </w:num>
  <w:num w:numId="16">
    <w:abstractNumId w:val="4"/>
  </w:num>
  <w:num w:numId="17">
    <w:abstractNumId w:val="18"/>
  </w:num>
  <w:num w:numId="18">
    <w:abstractNumId w:val="31"/>
  </w:num>
  <w:num w:numId="19">
    <w:abstractNumId w:val="22"/>
  </w:num>
  <w:num w:numId="20">
    <w:abstractNumId w:val="16"/>
  </w:num>
  <w:num w:numId="21">
    <w:abstractNumId w:val="10"/>
  </w:num>
  <w:num w:numId="22">
    <w:abstractNumId w:val="5"/>
  </w:num>
  <w:num w:numId="23">
    <w:abstractNumId w:val="17"/>
  </w:num>
  <w:num w:numId="24">
    <w:abstractNumId w:val="29"/>
  </w:num>
  <w:num w:numId="25">
    <w:abstractNumId w:val="7"/>
  </w:num>
  <w:num w:numId="26">
    <w:abstractNumId w:val="33"/>
  </w:num>
  <w:num w:numId="27">
    <w:abstractNumId w:val="13"/>
  </w:num>
  <w:num w:numId="28">
    <w:abstractNumId w:val="24"/>
  </w:num>
  <w:num w:numId="29">
    <w:abstractNumId w:val="12"/>
  </w:num>
  <w:num w:numId="30">
    <w:abstractNumId w:val="32"/>
  </w:num>
  <w:num w:numId="31">
    <w:abstractNumId w:val="6"/>
  </w:num>
  <w:num w:numId="32">
    <w:abstractNumId w:val="0"/>
  </w:num>
  <w:num w:numId="33">
    <w:abstractNumId w:val="34"/>
  </w:num>
  <w:num w:numId="34">
    <w:abstractNumId w:val="3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B4"/>
    <w:rsid w:val="000317AC"/>
    <w:rsid w:val="00072DB1"/>
    <w:rsid w:val="00074BB5"/>
    <w:rsid w:val="00086312"/>
    <w:rsid w:val="00086CEC"/>
    <w:rsid w:val="000A1F4F"/>
    <w:rsid w:val="000B4310"/>
    <w:rsid w:val="000C1042"/>
    <w:rsid w:val="000C46D1"/>
    <w:rsid w:val="001073D8"/>
    <w:rsid w:val="00155919"/>
    <w:rsid w:val="001A1B1E"/>
    <w:rsid w:val="001E3877"/>
    <w:rsid w:val="001E4EFB"/>
    <w:rsid w:val="00211354"/>
    <w:rsid w:val="0022327C"/>
    <w:rsid w:val="00231A11"/>
    <w:rsid w:val="00261A35"/>
    <w:rsid w:val="00280922"/>
    <w:rsid w:val="00311673"/>
    <w:rsid w:val="00383068"/>
    <w:rsid w:val="00396328"/>
    <w:rsid w:val="003B1549"/>
    <w:rsid w:val="003E5AF0"/>
    <w:rsid w:val="004000D7"/>
    <w:rsid w:val="00460B29"/>
    <w:rsid w:val="004E1090"/>
    <w:rsid w:val="00504E43"/>
    <w:rsid w:val="00507C82"/>
    <w:rsid w:val="005525D6"/>
    <w:rsid w:val="00607ED8"/>
    <w:rsid w:val="0062732D"/>
    <w:rsid w:val="00637FFD"/>
    <w:rsid w:val="006953D9"/>
    <w:rsid w:val="0072351D"/>
    <w:rsid w:val="007314DA"/>
    <w:rsid w:val="007371BF"/>
    <w:rsid w:val="00770186"/>
    <w:rsid w:val="0077060F"/>
    <w:rsid w:val="007908F4"/>
    <w:rsid w:val="007D026A"/>
    <w:rsid w:val="007D7661"/>
    <w:rsid w:val="007F10DB"/>
    <w:rsid w:val="0080301E"/>
    <w:rsid w:val="008368A3"/>
    <w:rsid w:val="008635FD"/>
    <w:rsid w:val="008A22C6"/>
    <w:rsid w:val="008D2E15"/>
    <w:rsid w:val="00955B14"/>
    <w:rsid w:val="00970E74"/>
    <w:rsid w:val="009C2DD7"/>
    <w:rsid w:val="009D3B04"/>
    <w:rsid w:val="009E4945"/>
    <w:rsid w:val="009F2251"/>
    <w:rsid w:val="00A12B4C"/>
    <w:rsid w:val="00A14B51"/>
    <w:rsid w:val="00A41968"/>
    <w:rsid w:val="00B17A96"/>
    <w:rsid w:val="00B37FC8"/>
    <w:rsid w:val="00B60036"/>
    <w:rsid w:val="00B634EB"/>
    <w:rsid w:val="00BC7E4E"/>
    <w:rsid w:val="00BE362B"/>
    <w:rsid w:val="00C07F80"/>
    <w:rsid w:val="00C2534E"/>
    <w:rsid w:val="00C37DA7"/>
    <w:rsid w:val="00C534F9"/>
    <w:rsid w:val="00C87445"/>
    <w:rsid w:val="00CB7A5E"/>
    <w:rsid w:val="00D078AB"/>
    <w:rsid w:val="00D516F3"/>
    <w:rsid w:val="00DA25BE"/>
    <w:rsid w:val="00E36250"/>
    <w:rsid w:val="00E62FD6"/>
    <w:rsid w:val="00E721A4"/>
    <w:rsid w:val="00E909B4"/>
    <w:rsid w:val="00E97A8E"/>
    <w:rsid w:val="00EB26A9"/>
    <w:rsid w:val="00ED46BA"/>
    <w:rsid w:val="00F1142F"/>
    <w:rsid w:val="00F234EE"/>
    <w:rsid w:val="00F47159"/>
    <w:rsid w:val="00F8590A"/>
    <w:rsid w:val="00FB78EF"/>
    <w:rsid w:val="00FC2C15"/>
    <w:rsid w:val="00FD3A85"/>
    <w:rsid w:val="00FD7B14"/>
    <w:rsid w:val="00FE1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5FD"/>
    <w:rPr>
      <w:rFonts w:ascii="Tahoma" w:hAnsi="Tahoma" w:cs="Tahoma"/>
      <w:sz w:val="16"/>
      <w:szCs w:val="16"/>
    </w:rPr>
  </w:style>
  <w:style w:type="character" w:customStyle="1" w:styleId="BalloonTextChar">
    <w:name w:val="Balloon Text Char"/>
    <w:basedOn w:val="DefaultParagraphFont"/>
    <w:link w:val="BalloonText"/>
    <w:uiPriority w:val="99"/>
    <w:semiHidden/>
    <w:rsid w:val="008635FD"/>
    <w:rPr>
      <w:rFonts w:ascii="Tahoma" w:hAnsi="Tahoma" w:cs="Tahoma"/>
      <w:sz w:val="16"/>
      <w:szCs w:val="16"/>
    </w:rPr>
  </w:style>
  <w:style w:type="paragraph" w:styleId="ListParagraph">
    <w:name w:val="List Paragraph"/>
    <w:basedOn w:val="Normal"/>
    <w:uiPriority w:val="34"/>
    <w:qFormat/>
    <w:rsid w:val="001E3877"/>
    <w:pPr>
      <w:ind w:left="720"/>
      <w:contextualSpacing/>
    </w:pPr>
  </w:style>
  <w:style w:type="table" w:styleId="TableGrid">
    <w:name w:val="Table Grid"/>
    <w:basedOn w:val="TableNormal"/>
    <w:uiPriority w:val="59"/>
    <w:rsid w:val="00FE1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E721A4"/>
    <w:rPr>
      <w:rFonts w:eastAsia="Times New Roman" w:cs="Times New Roman"/>
      <w:sz w:val="20"/>
      <w:szCs w:val="20"/>
    </w:rPr>
  </w:style>
  <w:style w:type="character" w:customStyle="1" w:styleId="CommentTextChar">
    <w:name w:val="Comment Text Char"/>
    <w:basedOn w:val="DefaultParagraphFont"/>
    <w:link w:val="CommentText"/>
    <w:semiHidden/>
    <w:rsid w:val="00E721A4"/>
    <w:rPr>
      <w:rFonts w:eastAsia="Times New Roman" w:cs="Times New Roman"/>
      <w:sz w:val="20"/>
      <w:szCs w:val="20"/>
    </w:rPr>
  </w:style>
  <w:style w:type="paragraph" w:styleId="NoSpacing">
    <w:name w:val="No Spacing"/>
    <w:uiPriority w:val="1"/>
    <w:qFormat/>
    <w:rsid w:val="00086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5FD"/>
    <w:rPr>
      <w:rFonts w:ascii="Tahoma" w:hAnsi="Tahoma" w:cs="Tahoma"/>
      <w:sz w:val="16"/>
      <w:szCs w:val="16"/>
    </w:rPr>
  </w:style>
  <w:style w:type="character" w:customStyle="1" w:styleId="BalloonTextChar">
    <w:name w:val="Balloon Text Char"/>
    <w:basedOn w:val="DefaultParagraphFont"/>
    <w:link w:val="BalloonText"/>
    <w:uiPriority w:val="99"/>
    <w:semiHidden/>
    <w:rsid w:val="008635FD"/>
    <w:rPr>
      <w:rFonts w:ascii="Tahoma" w:hAnsi="Tahoma" w:cs="Tahoma"/>
      <w:sz w:val="16"/>
      <w:szCs w:val="16"/>
    </w:rPr>
  </w:style>
  <w:style w:type="paragraph" w:styleId="ListParagraph">
    <w:name w:val="List Paragraph"/>
    <w:basedOn w:val="Normal"/>
    <w:uiPriority w:val="34"/>
    <w:qFormat/>
    <w:rsid w:val="001E3877"/>
    <w:pPr>
      <w:ind w:left="720"/>
      <w:contextualSpacing/>
    </w:pPr>
  </w:style>
  <w:style w:type="table" w:styleId="TableGrid">
    <w:name w:val="Table Grid"/>
    <w:basedOn w:val="TableNormal"/>
    <w:uiPriority w:val="59"/>
    <w:rsid w:val="00FE1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E721A4"/>
    <w:rPr>
      <w:rFonts w:eastAsia="Times New Roman" w:cs="Times New Roman"/>
      <w:sz w:val="20"/>
      <w:szCs w:val="20"/>
    </w:rPr>
  </w:style>
  <w:style w:type="character" w:customStyle="1" w:styleId="CommentTextChar">
    <w:name w:val="Comment Text Char"/>
    <w:basedOn w:val="DefaultParagraphFont"/>
    <w:link w:val="CommentText"/>
    <w:semiHidden/>
    <w:rsid w:val="00E721A4"/>
    <w:rPr>
      <w:rFonts w:eastAsia="Times New Roman" w:cs="Times New Roman"/>
      <w:sz w:val="20"/>
      <w:szCs w:val="20"/>
    </w:rPr>
  </w:style>
  <w:style w:type="paragraph" w:styleId="NoSpacing">
    <w:name w:val="No Spacing"/>
    <w:uiPriority w:val="1"/>
    <w:qFormat/>
    <w:rsid w:val="00086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scholes@ox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F892-00AE-4E92-9FB3-4F8078A4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8ACC887D.dotm</Template>
  <TotalTime>16</TotalTime>
  <Pages>8</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nichola.griffiths</dc:creator>
  <cp:lastModifiedBy>Sarah.Claridge</cp:lastModifiedBy>
  <cp:revision>5</cp:revision>
  <cp:lastPrinted>2015-02-02T15:24:00Z</cp:lastPrinted>
  <dcterms:created xsi:type="dcterms:W3CDTF">2015-04-17T12:50:00Z</dcterms:created>
  <dcterms:modified xsi:type="dcterms:W3CDTF">2015-05-06T13:32:00Z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575402799</vt:i4>
  </property>
</Properties>
</file>